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D533" w14:textId="76E5828B"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Cs w:val="20"/>
        </w:rPr>
      </w:pPr>
      <w:r>
        <w:rPr>
          <w:rFonts w:ascii="Times New Roman" w:hAnsi="Times New Roman" w:cs="Times New Roman"/>
          <w:noProof/>
          <w:szCs w:val="20"/>
          <w:lang w:val="fr-FR"/>
        </w:rPr>
        <w:drawing>
          <wp:inline distT="0" distB="0" distL="0" distR="0" wp14:anchorId="6013FD50" wp14:editId="28559944">
            <wp:extent cx="2578735" cy="10483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35" cy="1048385"/>
                    </a:xfrm>
                    <a:prstGeom prst="rect">
                      <a:avLst/>
                    </a:prstGeom>
                    <a:noFill/>
                  </pic:spPr>
                </pic:pic>
              </a:graphicData>
            </a:graphic>
          </wp:inline>
        </w:drawing>
      </w:r>
    </w:p>
    <w:p w14:paraId="10D60489"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Cs w:val="20"/>
        </w:rPr>
      </w:pPr>
    </w:p>
    <w:p w14:paraId="7D78AAAC"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Cs w:val="20"/>
        </w:rPr>
      </w:pPr>
    </w:p>
    <w:p w14:paraId="422B5C66"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Cs w:val="20"/>
        </w:rPr>
      </w:pPr>
    </w:p>
    <w:p w14:paraId="148492B8"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Cs w:val="20"/>
        </w:rPr>
      </w:pPr>
    </w:p>
    <w:p w14:paraId="7759E869"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Cs w:val="20"/>
        </w:rPr>
      </w:pPr>
    </w:p>
    <w:p w14:paraId="7A382432" w14:textId="3DBE1561" w:rsidR="006A791E" w:rsidRP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r w:rsidRPr="006A791E">
        <w:rPr>
          <w:rFonts w:ascii="Times New Roman" w:hAnsi="Times New Roman" w:cs="Times New Roman"/>
          <w:sz w:val="28"/>
          <w:szCs w:val="20"/>
        </w:rPr>
        <w:t>Guillaume B. Beaumier</w:t>
      </w:r>
    </w:p>
    <w:p w14:paraId="406D5762" w14:textId="77B14289" w:rsidR="006A791E" w:rsidRP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r w:rsidRPr="006A791E">
        <w:rPr>
          <w:rFonts w:ascii="Times New Roman" w:hAnsi="Times New Roman" w:cs="Times New Roman"/>
          <w:sz w:val="28"/>
          <w:szCs w:val="20"/>
        </w:rPr>
        <w:t>910 100 302</w:t>
      </w:r>
    </w:p>
    <w:p w14:paraId="4F360279" w14:textId="77777777" w:rsidR="006A791E" w:rsidRP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66527D79" w14:textId="77777777" w:rsidR="006A791E" w:rsidRP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05A486F8"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4DB953DF"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59D37CB5" w14:textId="77777777" w:rsidR="006A791E" w:rsidRP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13DA7CD0" w14:textId="77777777" w:rsidR="006A791E" w:rsidRP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284C9170" w14:textId="77777777" w:rsidR="006A791E" w:rsidRP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1C745081" w14:textId="77777777" w:rsidR="006A791E" w:rsidRPr="006A791E" w:rsidRDefault="006A791E" w:rsidP="006A791E">
      <w:pPr>
        <w:kinsoku w:val="0"/>
        <w:overflowPunct w:val="0"/>
        <w:autoSpaceDE w:val="0"/>
        <w:autoSpaceDN w:val="0"/>
        <w:adjustRightInd w:val="0"/>
        <w:spacing w:line="200" w:lineRule="atLeast"/>
        <w:jc w:val="center"/>
        <w:rPr>
          <w:rFonts w:ascii="Times New Roman" w:hAnsi="Times New Roman" w:cs="Times New Roman"/>
          <w:i/>
          <w:sz w:val="28"/>
          <w:szCs w:val="20"/>
        </w:rPr>
      </w:pPr>
      <w:r w:rsidRPr="006A791E">
        <w:rPr>
          <w:rFonts w:ascii="Times New Roman" w:hAnsi="Times New Roman" w:cs="Times New Roman"/>
          <w:i/>
          <w:sz w:val="28"/>
          <w:szCs w:val="20"/>
        </w:rPr>
        <w:t xml:space="preserve">Le Traité de Lisbonne et l’investissement : </w:t>
      </w:r>
    </w:p>
    <w:p w14:paraId="3FF2EB30" w14:textId="35411E09"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i/>
          <w:sz w:val="28"/>
          <w:szCs w:val="20"/>
        </w:rPr>
      </w:pPr>
      <w:proofErr w:type="gramStart"/>
      <w:r w:rsidRPr="006A791E">
        <w:rPr>
          <w:rFonts w:ascii="Times New Roman" w:hAnsi="Times New Roman" w:cs="Times New Roman"/>
          <w:i/>
          <w:sz w:val="28"/>
          <w:szCs w:val="20"/>
        </w:rPr>
        <w:t>l’évolution</w:t>
      </w:r>
      <w:proofErr w:type="gramEnd"/>
      <w:r w:rsidRPr="006A791E">
        <w:rPr>
          <w:rFonts w:ascii="Times New Roman" w:hAnsi="Times New Roman" w:cs="Times New Roman"/>
          <w:i/>
          <w:sz w:val="28"/>
          <w:szCs w:val="20"/>
        </w:rPr>
        <w:t xml:space="preserve"> d’un nouveau standard européen</w:t>
      </w:r>
    </w:p>
    <w:p w14:paraId="21641EC5"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i/>
          <w:sz w:val="28"/>
          <w:szCs w:val="20"/>
        </w:rPr>
      </w:pPr>
    </w:p>
    <w:p w14:paraId="18FD3E71"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i/>
          <w:sz w:val="28"/>
          <w:szCs w:val="20"/>
        </w:rPr>
      </w:pPr>
    </w:p>
    <w:p w14:paraId="4651247B"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i/>
          <w:sz w:val="28"/>
          <w:szCs w:val="20"/>
        </w:rPr>
      </w:pPr>
    </w:p>
    <w:p w14:paraId="0836E179"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i/>
          <w:sz w:val="28"/>
          <w:szCs w:val="20"/>
        </w:rPr>
      </w:pPr>
    </w:p>
    <w:p w14:paraId="3C74A670"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i/>
          <w:sz w:val="28"/>
          <w:szCs w:val="20"/>
        </w:rPr>
      </w:pPr>
    </w:p>
    <w:p w14:paraId="6221FB77"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i/>
          <w:sz w:val="28"/>
          <w:szCs w:val="20"/>
        </w:rPr>
      </w:pPr>
    </w:p>
    <w:p w14:paraId="4CB8E9D5"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i/>
          <w:sz w:val="28"/>
          <w:szCs w:val="20"/>
        </w:rPr>
      </w:pPr>
    </w:p>
    <w:p w14:paraId="31F15BB3"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1357B3C7" w14:textId="6D9DB03E"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r>
        <w:rPr>
          <w:rFonts w:ascii="Times New Roman" w:hAnsi="Times New Roman" w:cs="Times New Roman"/>
          <w:sz w:val="28"/>
          <w:szCs w:val="20"/>
        </w:rPr>
        <w:t xml:space="preserve">Essai de </w:t>
      </w:r>
      <w:proofErr w:type="spellStart"/>
      <w:r>
        <w:rPr>
          <w:rFonts w:ascii="Times New Roman" w:hAnsi="Times New Roman" w:cs="Times New Roman"/>
          <w:sz w:val="28"/>
          <w:szCs w:val="20"/>
        </w:rPr>
        <w:t>maîtrise</w:t>
      </w:r>
      <w:proofErr w:type="spellEnd"/>
      <w:r>
        <w:rPr>
          <w:rFonts w:ascii="Times New Roman" w:hAnsi="Times New Roman" w:cs="Times New Roman"/>
          <w:sz w:val="28"/>
          <w:szCs w:val="20"/>
        </w:rPr>
        <w:t xml:space="preserve"> en études internationales</w:t>
      </w:r>
    </w:p>
    <w:p w14:paraId="374BAFA2" w14:textId="4719863A"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r>
        <w:rPr>
          <w:rFonts w:ascii="Times New Roman" w:hAnsi="Times New Roman" w:cs="Times New Roman"/>
          <w:sz w:val="28"/>
          <w:szCs w:val="20"/>
        </w:rPr>
        <w:t>Directeur : Richard Ouellet</w:t>
      </w:r>
    </w:p>
    <w:p w14:paraId="393F463F"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4B76BD4C"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2548E15B"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735C65B8"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3AB73F40"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23025A63"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29EAD1F0"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2C523D2A" w14:textId="77777777" w:rsidR="006A791E" w:rsidRDefault="006A791E" w:rsidP="006A791E">
      <w:pPr>
        <w:kinsoku w:val="0"/>
        <w:overflowPunct w:val="0"/>
        <w:autoSpaceDE w:val="0"/>
        <w:autoSpaceDN w:val="0"/>
        <w:adjustRightInd w:val="0"/>
        <w:spacing w:line="200" w:lineRule="atLeast"/>
        <w:jc w:val="center"/>
        <w:rPr>
          <w:rFonts w:ascii="Times New Roman" w:hAnsi="Times New Roman" w:cs="Times New Roman"/>
          <w:sz w:val="28"/>
          <w:szCs w:val="20"/>
        </w:rPr>
      </w:pPr>
    </w:p>
    <w:p w14:paraId="3F49A391" w14:textId="78E4E025" w:rsidR="00D61BE7" w:rsidRDefault="00D61BE7" w:rsidP="00D61BE7">
      <w:pPr>
        <w:kinsoku w:val="0"/>
        <w:overflowPunct w:val="0"/>
        <w:autoSpaceDE w:val="0"/>
        <w:autoSpaceDN w:val="0"/>
        <w:adjustRightInd w:val="0"/>
        <w:spacing w:line="200" w:lineRule="atLeast"/>
        <w:jc w:val="center"/>
        <w:rPr>
          <w:rFonts w:ascii="Times New Roman" w:hAnsi="Times New Roman" w:cs="Times New Roman"/>
          <w:sz w:val="28"/>
          <w:szCs w:val="20"/>
        </w:rPr>
      </w:pPr>
      <w:r>
        <w:rPr>
          <w:rFonts w:ascii="Times New Roman" w:hAnsi="Times New Roman" w:cs="Times New Roman"/>
          <w:sz w:val="28"/>
          <w:szCs w:val="20"/>
        </w:rPr>
        <w:t xml:space="preserve">Décembre 2015 </w:t>
      </w:r>
    </w:p>
    <w:sdt>
      <w:sdtPr>
        <w:rPr>
          <w:rFonts w:asciiTheme="minorHAnsi" w:eastAsiaTheme="minorEastAsia" w:hAnsiTheme="minorHAnsi" w:cstheme="minorBidi"/>
          <w:color w:val="auto"/>
          <w:sz w:val="24"/>
          <w:szCs w:val="24"/>
          <w:lang w:val="fr-FR" w:eastAsia="fr-FR"/>
        </w:rPr>
        <w:id w:val="-1862580942"/>
        <w:docPartObj>
          <w:docPartGallery w:val="Table of Contents"/>
          <w:docPartUnique/>
        </w:docPartObj>
      </w:sdtPr>
      <w:sdtEndPr>
        <w:rPr>
          <w:b/>
          <w:bCs/>
        </w:rPr>
      </w:sdtEndPr>
      <w:sdtContent>
        <w:p w14:paraId="347FCD84" w14:textId="77530F46" w:rsidR="00D61BE7" w:rsidRPr="00FC4C1A" w:rsidRDefault="00D61BE7" w:rsidP="00FC4C1A">
          <w:pPr>
            <w:pStyle w:val="En-ttedetabledesmatires"/>
            <w:spacing w:line="360" w:lineRule="auto"/>
            <w:jc w:val="center"/>
            <w:rPr>
              <w:rFonts w:ascii="Times New Roman" w:hAnsi="Times New Roman" w:cs="Times New Roman"/>
              <w:b/>
              <w:color w:val="auto"/>
            </w:rPr>
          </w:pPr>
          <w:r w:rsidRPr="00FC4C1A">
            <w:rPr>
              <w:rFonts w:ascii="Times New Roman" w:hAnsi="Times New Roman" w:cs="Times New Roman"/>
              <w:b/>
              <w:color w:val="auto"/>
              <w:lang w:val="fr-FR"/>
            </w:rPr>
            <w:t>Table des matières</w:t>
          </w:r>
        </w:p>
        <w:p w14:paraId="5B4B5CBA" w14:textId="77777777" w:rsidR="004E3590" w:rsidRPr="004E3590" w:rsidRDefault="00D61BE7" w:rsidP="006A5780">
          <w:pPr>
            <w:pStyle w:val="TM1"/>
            <w:tabs>
              <w:tab w:val="right" w:leader="dot" w:pos="9394"/>
            </w:tabs>
            <w:spacing w:after="0" w:line="480" w:lineRule="auto"/>
            <w:jc w:val="both"/>
            <w:rPr>
              <w:noProof/>
              <w:lang w:eastAsia="ja-JP"/>
            </w:rPr>
          </w:pPr>
          <w:r w:rsidRPr="004E3590">
            <w:fldChar w:fldCharType="begin"/>
          </w:r>
          <w:r w:rsidRPr="004E3590">
            <w:instrText xml:space="preserve"> TOC \o "1-3" \h \z \u </w:instrText>
          </w:r>
          <w:r w:rsidRPr="004E3590">
            <w:fldChar w:fldCharType="separate"/>
          </w:r>
          <w:r w:rsidR="004E3590" w:rsidRPr="004E3590">
            <w:rPr>
              <w:rFonts w:ascii="Times New Roman" w:hAnsi="Times New Roman" w:cs="Times New Roman"/>
              <w:b/>
              <w:noProof/>
            </w:rPr>
            <w:t>1. Le Traité de Lisbonne et l’apparition d’un nouvel acteur du droit international des investissements</w:t>
          </w:r>
          <w:r w:rsidR="004E3590" w:rsidRPr="004E3590">
            <w:rPr>
              <w:noProof/>
            </w:rPr>
            <w:tab/>
          </w:r>
          <w:r w:rsidR="004E3590" w:rsidRPr="004E3590">
            <w:rPr>
              <w:noProof/>
            </w:rPr>
            <w:fldChar w:fldCharType="begin"/>
          </w:r>
          <w:r w:rsidR="004E3590" w:rsidRPr="004E3590">
            <w:rPr>
              <w:noProof/>
            </w:rPr>
            <w:instrText xml:space="preserve"> PAGEREF _Toc313471452 \h </w:instrText>
          </w:r>
          <w:r w:rsidR="004E3590" w:rsidRPr="004E3590">
            <w:rPr>
              <w:noProof/>
            </w:rPr>
          </w:r>
          <w:r w:rsidR="004E3590" w:rsidRPr="004E3590">
            <w:rPr>
              <w:noProof/>
            </w:rPr>
            <w:fldChar w:fldCharType="separate"/>
          </w:r>
          <w:r w:rsidR="004E3590" w:rsidRPr="004E3590">
            <w:rPr>
              <w:noProof/>
            </w:rPr>
            <w:t>1</w:t>
          </w:r>
          <w:r w:rsidR="004E3590" w:rsidRPr="004E3590">
            <w:rPr>
              <w:noProof/>
            </w:rPr>
            <w:fldChar w:fldCharType="end"/>
          </w:r>
        </w:p>
        <w:p w14:paraId="75312A5A" w14:textId="77777777" w:rsidR="004E3590" w:rsidRPr="004E3590" w:rsidRDefault="004E3590" w:rsidP="006A5780">
          <w:pPr>
            <w:pStyle w:val="TM1"/>
            <w:tabs>
              <w:tab w:val="right" w:leader="dot" w:pos="9394"/>
            </w:tabs>
            <w:spacing w:after="0" w:line="480" w:lineRule="auto"/>
            <w:jc w:val="both"/>
            <w:rPr>
              <w:noProof/>
              <w:lang w:eastAsia="ja-JP"/>
            </w:rPr>
          </w:pPr>
          <w:r w:rsidRPr="004E3590">
            <w:rPr>
              <w:rFonts w:ascii="Times New Roman" w:hAnsi="Times New Roman" w:cs="Times New Roman"/>
              <w:b/>
              <w:noProof/>
            </w:rPr>
            <w:t>2. Le régime des investissements, entre ordre et anarchie</w:t>
          </w:r>
          <w:r w:rsidRPr="004E3590">
            <w:rPr>
              <w:noProof/>
            </w:rPr>
            <w:tab/>
          </w:r>
          <w:r w:rsidRPr="004E3590">
            <w:rPr>
              <w:noProof/>
            </w:rPr>
            <w:fldChar w:fldCharType="begin"/>
          </w:r>
          <w:r w:rsidRPr="004E3590">
            <w:rPr>
              <w:noProof/>
            </w:rPr>
            <w:instrText xml:space="preserve"> PAGEREF _Toc313471453 \h </w:instrText>
          </w:r>
          <w:r w:rsidRPr="004E3590">
            <w:rPr>
              <w:noProof/>
            </w:rPr>
          </w:r>
          <w:r w:rsidRPr="004E3590">
            <w:rPr>
              <w:noProof/>
            </w:rPr>
            <w:fldChar w:fldCharType="separate"/>
          </w:r>
          <w:r w:rsidRPr="004E3590">
            <w:rPr>
              <w:noProof/>
            </w:rPr>
            <w:t>5</w:t>
          </w:r>
          <w:r w:rsidRPr="004E3590">
            <w:rPr>
              <w:noProof/>
            </w:rPr>
            <w:fldChar w:fldCharType="end"/>
          </w:r>
        </w:p>
        <w:p w14:paraId="7A32B647" w14:textId="77777777" w:rsidR="004E3590" w:rsidRPr="004E3590" w:rsidRDefault="004E3590" w:rsidP="006A5780">
          <w:pPr>
            <w:pStyle w:val="TM2"/>
            <w:spacing w:after="0" w:line="480" w:lineRule="auto"/>
            <w:jc w:val="both"/>
            <w:rPr>
              <w:noProof/>
              <w:lang w:eastAsia="ja-JP"/>
            </w:rPr>
          </w:pPr>
          <w:r w:rsidRPr="004E3590">
            <w:rPr>
              <w:rFonts w:ascii="Times New Roman" w:hAnsi="Times New Roman" w:cs="Times New Roman"/>
              <w:b/>
              <w:noProof/>
            </w:rPr>
            <w:t>2.1 Un régime, un complexe, des institutions, mais de quoi parle-t-on ?</w:t>
          </w:r>
          <w:r w:rsidRPr="004E3590">
            <w:rPr>
              <w:noProof/>
            </w:rPr>
            <w:tab/>
          </w:r>
          <w:r w:rsidRPr="004E3590">
            <w:rPr>
              <w:noProof/>
            </w:rPr>
            <w:fldChar w:fldCharType="begin"/>
          </w:r>
          <w:r w:rsidRPr="004E3590">
            <w:rPr>
              <w:noProof/>
            </w:rPr>
            <w:instrText xml:space="preserve"> PAGEREF _Toc313471454 \h </w:instrText>
          </w:r>
          <w:r w:rsidRPr="004E3590">
            <w:rPr>
              <w:noProof/>
            </w:rPr>
          </w:r>
          <w:r w:rsidRPr="004E3590">
            <w:rPr>
              <w:noProof/>
            </w:rPr>
            <w:fldChar w:fldCharType="separate"/>
          </w:r>
          <w:r w:rsidRPr="004E3590">
            <w:rPr>
              <w:noProof/>
            </w:rPr>
            <w:t>6</w:t>
          </w:r>
          <w:r w:rsidRPr="004E3590">
            <w:rPr>
              <w:noProof/>
            </w:rPr>
            <w:fldChar w:fldCharType="end"/>
          </w:r>
        </w:p>
        <w:p w14:paraId="0687BE1A" w14:textId="77777777" w:rsidR="004E3590" w:rsidRPr="004E3590" w:rsidRDefault="004E3590" w:rsidP="006A5780">
          <w:pPr>
            <w:pStyle w:val="TM2"/>
            <w:spacing w:after="0" w:line="480" w:lineRule="auto"/>
            <w:jc w:val="both"/>
            <w:rPr>
              <w:noProof/>
              <w:lang w:eastAsia="ja-JP"/>
            </w:rPr>
          </w:pPr>
          <w:r w:rsidRPr="004E3590">
            <w:rPr>
              <w:rFonts w:ascii="Times New Roman" w:hAnsi="Times New Roman" w:cs="Times New Roman"/>
              <w:b/>
              <w:noProof/>
            </w:rPr>
            <w:t>2.2 Un système aux multiples implications</w:t>
          </w:r>
          <w:r w:rsidRPr="004E3590">
            <w:rPr>
              <w:noProof/>
            </w:rPr>
            <w:tab/>
          </w:r>
          <w:r w:rsidRPr="004E3590">
            <w:rPr>
              <w:noProof/>
            </w:rPr>
            <w:fldChar w:fldCharType="begin"/>
          </w:r>
          <w:r w:rsidRPr="004E3590">
            <w:rPr>
              <w:noProof/>
            </w:rPr>
            <w:instrText xml:space="preserve"> PAGEREF _Toc313471455 \h </w:instrText>
          </w:r>
          <w:r w:rsidRPr="004E3590">
            <w:rPr>
              <w:noProof/>
            </w:rPr>
          </w:r>
          <w:r w:rsidRPr="004E3590">
            <w:rPr>
              <w:noProof/>
            </w:rPr>
            <w:fldChar w:fldCharType="separate"/>
          </w:r>
          <w:r w:rsidRPr="004E3590">
            <w:rPr>
              <w:noProof/>
            </w:rPr>
            <w:t>12</w:t>
          </w:r>
          <w:r w:rsidRPr="004E3590">
            <w:rPr>
              <w:noProof/>
            </w:rPr>
            <w:fldChar w:fldCharType="end"/>
          </w:r>
        </w:p>
        <w:p w14:paraId="2094AC1C" w14:textId="77777777" w:rsidR="004E3590" w:rsidRPr="004E3590" w:rsidRDefault="004E3590" w:rsidP="004B3679">
          <w:pPr>
            <w:pStyle w:val="TM3"/>
            <w:rPr>
              <w:rFonts w:cstheme="minorBidi"/>
              <w:noProof/>
              <w:sz w:val="24"/>
              <w:szCs w:val="24"/>
              <w:lang w:eastAsia="ja-JP"/>
            </w:rPr>
          </w:pPr>
          <w:r w:rsidRPr="004E3590">
            <w:rPr>
              <w:noProof/>
            </w:rPr>
            <w:t>2.2.1 Un rôle accru pour la mise en œuvre des obligations</w:t>
          </w:r>
          <w:r w:rsidRPr="004E3590">
            <w:rPr>
              <w:noProof/>
            </w:rPr>
            <w:tab/>
          </w:r>
          <w:r w:rsidRPr="004E3590">
            <w:rPr>
              <w:noProof/>
            </w:rPr>
            <w:fldChar w:fldCharType="begin"/>
          </w:r>
          <w:r w:rsidRPr="004E3590">
            <w:rPr>
              <w:noProof/>
            </w:rPr>
            <w:instrText xml:space="preserve"> PAGEREF _Toc313471456 \h </w:instrText>
          </w:r>
          <w:r w:rsidRPr="004E3590">
            <w:rPr>
              <w:noProof/>
            </w:rPr>
          </w:r>
          <w:r w:rsidRPr="004E3590">
            <w:rPr>
              <w:noProof/>
            </w:rPr>
            <w:fldChar w:fldCharType="separate"/>
          </w:r>
          <w:r w:rsidRPr="004E3590">
            <w:rPr>
              <w:noProof/>
            </w:rPr>
            <w:t>13</w:t>
          </w:r>
          <w:r w:rsidRPr="004E3590">
            <w:rPr>
              <w:noProof/>
            </w:rPr>
            <w:fldChar w:fldCharType="end"/>
          </w:r>
        </w:p>
        <w:p w14:paraId="029B7EA6" w14:textId="77777777" w:rsidR="004E3590" w:rsidRPr="004E3590" w:rsidRDefault="004E3590" w:rsidP="004B3679">
          <w:pPr>
            <w:pStyle w:val="TM3"/>
            <w:rPr>
              <w:rFonts w:cstheme="minorBidi"/>
              <w:noProof/>
              <w:sz w:val="24"/>
              <w:szCs w:val="24"/>
              <w:lang w:eastAsia="ja-JP"/>
            </w:rPr>
          </w:pPr>
          <w:r w:rsidRPr="004E3590">
            <w:rPr>
              <w:noProof/>
            </w:rPr>
            <w:t>2.2.2 La présence de stratégies interinstitutionnelles</w:t>
          </w:r>
          <w:r w:rsidRPr="004E3590">
            <w:rPr>
              <w:noProof/>
            </w:rPr>
            <w:tab/>
          </w:r>
          <w:r w:rsidRPr="004E3590">
            <w:rPr>
              <w:noProof/>
            </w:rPr>
            <w:fldChar w:fldCharType="begin"/>
          </w:r>
          <w:r w:rsidRPr="004E3590">
            <w:rPr>
              <w:noProof/>
            </w:rPr>
            <w:instrText xml:space="preserve"> PAGEREF _Toc313471457 \h </w:instrText>
          </w:r>
          <w:r w:rsidRPr="004E3590">
            <w:rPr>
              <w:noProof/>
            </w:rPr>
          </w:r>
          <w:r w:rsidRPr="004E3590">
            <w:rPr>
              <w:noProof/>
            </w:rPr>
            <w:fldChar w:fldCharType="separate"/>
          </w:r>
          <w:r w:rsidRPr="004E3590">
            <w:rPr>
              <w:noProof/>
            </w:rPr>
            <w:t>14</w:t>
          </w:r>
          <w:r w:rsidRPr="004E3590">
            <w:rPr>
              <w:noProof/>
            </w:rPr>
            <w:fldChar w:fldCharType="end"/>
          </w:r>
        </w:p>
        <w:p w14:paraId="22565CEE" w14:textId="77777777" w:rsidR="004E3590" w:rsidRPr="004E3590" w:rsidRDefault="004E3590" w:rsidP="004B3679">
          <w:pPr>
            <w:pStyle w:val="TM3"/>
            <w:rPr>
              <w:rFonts w:cstheme="minorBidi"/>
              <w:noProof/>
              <w:sz w:val="24"/>
              <w:szCs w:val="24"/>
              <w:lang w:eastAsia="ja-JP"/>
            </w:rPr>
          </w:pPr>
          <w:r w:rsidRPr="004E3590">
            <w:rPr>
              <w:noProof/>
            </w:rPr>
            <w:t>2.2.3 La rationalité limitée des acteurs au sein d’un complexe</w:t>
          </w:r>
          <w:r w:rsidRPr="004E3590">
            <w:rPr>
              <w:noProof/>
            </w:rPr>
            <w:tab/>
          </w:r>
          <w:r w:rsidRPr="004E3590">
            <w:rPr>
              <w:noProof/>
            </w:rPr>
            <w:fldChar w:fldCharType="begin"/>
          </w:r>
          <w:r w:rsidRPr="004E3590">
            <w:rPr>
              <w:noProof/>
            </w:rPr>
            <w:instrText xml:space="preserve"> PAGEREF _Toc313471458 \h </w:instrText>
          </w:r>
          <w:r w:rsidRPr="004E3590">
            <w:rPr>
              <w:noProof/>
            </w:rPr>
          </w:r>
          <w:r w:rsidRPr="004E3590">
            <w:rPr>
              <w:noProof/>
            </w:rPr>
            <w:fldChar w:fldCharType="separate"/>
          </w:r>
          <w:r w:rsidRPr="004E3590">
            <w:rPr>
              <w:noProof/>
            </w:rPr>
            <w:t>15</w:t>
          </w:r>
          <w:r w:rsidRPr="004E3590">
            <w:rPr>
              <w:noProof/>
            </w:rPr>
            <w:fldChar w:fldCharType="end"/>
          </w:r>
        </w:p>
        <w:p w14:paraId="6637D9E6" w14:textId="77777777" w:rsidR="004E3590" w:rsidRPr="004E3590" w:rsidRDefault="004E3590" w:rsidP="004B3679">
          <w:pPr>
            <w:pStyle w:val="TM3"/>
            <w:rPr>
              <w:rFonts w:cstheme="minorBidi"/>
              <w:noProof/>
              <w:sz w:val="24"/>
              <w:szCs w:val="24"/>
              <w:lang w:eastAsia="ja-JP"/>
            </w:rPr>
          </w:pPr>
          <w:r w:rsidRPr="004E3590">
            <w:rPr>
              <w:noProof/>
            </w:rPr>
            <w:t>2.2.4 Une multiplicité d’acteurs avec un esprit de groupe</w:t>
          </w:r>
          <w:r w:rsidRPr="004E3590">
            <w:rPr>
              <w:noProof/>
            </w:rPr>
            <w:tab/>
          </w:r>
          <w:r w:rsidRPr="004E3590">
            <w:rPr>
              <w:noProof/>
            </w:rPr>
            <w:fldChar w:fldCharType="begin"/>
          </w:r>
          <w:r w:rsidRPr="004E3590">
            <w:rPr>
              <w:noProof/>
            </w:rPr>
            <w:instrText xml:space="preserve"> PAGEREF _Toc313471459 \h </w:instrText>
          </w:r>
          <w:r w:rsidRPr="004E3590">
            <w:rPr>
              <w:noProof/>
            </w:rPr>
          </w:r>
          <w:r w:rsidRPr="004E3590">
            <w:rPr>
              <w:noProof/>
            </w:rPr>
            <w:fldChar w:fldCharType="separate"/>
          </w:r>
          <w:r w:rsidRPr="004E3590">
            <w:rPr>
              <w:noProof/>
            </w:rPr>
            <w:t>17</w:t>
          </w:r>
          <w:r w:rsidRPr="004E3590">
            <w:rPr>
              <w:noProof/>
            </w:rPr>
            <w:fldChar w:fldCharType="end"/>
          </w:r>
        </w:p>
        <w:p w14:paraId="07AF2952" w14:textId="77777777" w:rsidR="004E3590" w:rsidRPr="004E3590" w:rsidRDefault="004E3590" w:rsidP="004B3679">
          <w:pPr>
            <w:pStyle w:val="TM3"/>
            <w:rPr>
              <w:rFonts w:cstheme="minorBidi"/>
              <w:noProof/>
              <w:sz w:val="24"/>
              <w:szCs w:val="24"/>
              <w:lang w:eastAsia="ja-JP"/>
            </w:rPr>
          </w:pPr>
          <w:r w:rsidRPr="004E3590">
            <w:rPr>
              <w:noProof/>
            </w:rPr>
            <w:t>2.2.5 Un environnement favorable aux effets rétroactifs</w:t>
          </w:r>
          <w:r w:rsidRPr="004E3590">
            <w:rPr>
              <w:noProof/>
            </w:rPr>
            <w:tab/>
          </w:r>
          <w:r w:rsidRPr="004E3590">
            <w:rPr>
              <w:noProof/>
            </w:rPr>
            <w:fldChar w:fldCharType="begin"/>
          </w:r>
          <w:r w:rsidRPr="004E3590">
            <w:rPr>
              <w:noProof/>
            </w:rPr>
            <w:instrText xml:space="preserve"> PAGEREF _Toc313471460 \h </w:instrText>
          </w:r>
          <w:r w:rsidRPr="004E3590">
            <w:rPr>
              <w:noProof/>
            </w:rPr>
          </w:r>
          <w:r w:rsidRPr="004E3590">
            <w:rPr>
              <w:noProof/>
            </w:rPr>
            <w:fldChar w:fldCharType="separate"/>
          </w:r>
          <w:r w:rsidRPr="004E3590">
            <w:rPr>
              <w:noProof/>
            </w:rPr>
            <w:t>17</w:t>
          </w:r>
          <w:r w:rsidRPr="004E3590">
            <w:rPr>
              <w:noProof/>
            </w:rPr>
            <w:fldChar w:fldCharType="end"/>
          </w:r>
        </w:p>
        <w:p w14:paraId="65D0DD51" w14:textId="77777777" w:rsidR="004E3590" w:rsidRPr="004E3590" w:rsidRDefault="004E3590" w:rsidP="006A5780">
          <w:pPr>
            <w:pStyle w:val="TM1"/>
            <w:tabs>
              <w:tab w:val="right" w:leader="dot" w:pos="9394"/>
            </w:tabs>
            <w:spacing w:after="0" w:line="480" w:lineRule="auto"/>
            <w:jc w:val="both"/>
            <w:rPr>
              <w:noProof/>
              <w:lang w:eastAsia="ja-JP"/>
            </w:rPr>
          </w:pPr>
          <w:r w:rsidRPr="004E3590">
            <w:rPr>
              <w:rFonts w:ascii="Times New Roman" w:hAnsi="Times New Roman" w:cs="Times New Roman"/>
              <w:b/>
              <w:noProof/>
            </w:rPr>
            <w:t>3. À la recherche du modèle invisible d’accord sur l’investissement européen</w:t>
          </w:r>
          <w:r w:rsidRPr="004E3590">
            <w:rPr>
              <w:noProof/>
            </w:rPr>
            <w:tab/>
          </w:r>
          <w:r w:rsidRPr="004E3590">
            <w:rPr>
              <w:noProof/>
            </w:rPr>
            <w:fldChar w:fldCharType="begin"/>
          </w:r>
          <w:r w:rsidRPr="004E3590">
            <w:rPr>
              <w:noProof/>
            </w:rPr>
            <w:instrText xml:space="preserve"> PAGEREF _Toc313471461 \h </w:instrText>
          </w:r>
          <w:r w:rsidRPr="004E3590">
            <w:rPr>
              <w:noProof/>
            </w:rPr>
          </w:r>
          <w:r w:rsidRPr="004E3590">
            <w:rPr>
              <w:noProof/>
            </w:rPr>
            <w:fldChar w:fldCharType="separate"/>
          </w:r>
          <w:r w:rsidRPr="004E3590">
            <w:rPr>
              <w:noProof/>
            </w:rPr>
            <w:t>18</w:t>
          </w:r>
          <w:r w:rsidRPr="004E3590">
            <w:rPr>
              <w:noProof/>
            </w:rPr>
            <w:fldChar w:fldCharType="end"/>
          </w:r>
        </w:p>
        <w:p w14:paraId="18C764EA" w14:textId="77777777" w:rsidR="004E3590" w:rsidRPr="004E3590" w:rsidRDefault="004E3590" w:rsidP="006A5780">
          <w:pPr>
            <w:pStyle w:val="TM2"/>
            <w:spacing w:after="0" w:line="480" w:lineRule="auto"/>
            <w:jc w:val="both"/>
            <w:rPr>
              <w:noProof/>
              <w:lang w:eastAsia="ja-JP"/>
            </w:rPr>
          </w:pPr>
          <w:r w:rsidRPr="004E3590">
            <w:rPr>
              <w:rFonts w:ascii="Times New Roman" w:hAnsi="Times New Roman" w:cs="Times New Roman"/>
              <w:b/>
              <w:noProof/>
            </w:rPr>
            <w:t>3.1 L’AECG et l’ALEUES : les premiers pas vers le développement d’un modèle européen</w:t>
          </w:r>
          <w:r w:rsidRPr="004E3590">
            <w:rPr>
              <w:noProof/>
            </w:rPr>
            <w:tab/>
          </w:r>
          <w:r w:rsidRPr="004E3590">
            <w:rPr>
              <w:noProof/>
            </w:rPr>
            <w:fldChar w:fldCharType="begin"/>
          </w:r>
          <w:r w:rsidRPr="004E3590">
            <w:rPr>
              <w:noProof/>
            </w:rPr>
            <w:instrText xml:space="preserve"> PAGEREF _Toc313471462 \h </w:instrText>
          </w:r>
          <w:r w:rsidRPr="004E3590">
            <w:rPr>
              <w:noProof/>
            </w:rPr>
          </w:r>
          <w:r w:rsidRPr="004E3590">
            <w:rPr>
              <w:noProof/>
            </w:rPr>
            <w:fldChar w:fldCharType="separate"/>
          </w:r>
          <w:r w:rsidRPr="004E3590">
            <w:rPr>
              <w:noProof/>
            </w:rPr>
            <w:t>19</w:t>
          </w:r>
          <w:r w:rsidRPr="004E3590">
            <w:rPr>
              <w:noProof/>
            </w:rPr>
            <w:fldChar w:fldCharType="end"/>
          </w:r>
        </w:p>
        <w:p w14:paraId="34771B7B" w14:textId="77777777" w:rsidR="004E3590" w:rsidRPr="004E3590" w:rsidRDefault="004E3590" w:rsidP="006A5780">
          <w:pPr>
            <w:pStyle w:val="TM2"/>
            <w:spacing w:after="0" w:line="480" w:lineRule="auto"/>
            <w:jc w:val="both"/>
            <w:rPr>
              <w:noProof/>
              <w:lang w:eastAsia="ja-JP"/>
            </w:rPr>
          </w:pPr>
          <w:r w:rsidRPr="004E3590">
            <w:rPr>
              <w:rFonts w:ascii="Times New Roman" w:hAnsi="Times New Roman" w:cs="Times New Roman"/>
              <w:b/>
              <w:noProof/>
            </w:rPr>
            <w:t>3.2 La mise en lumière d’un modèle d’accord européen : un objectif impossible ?</w:t>
          </w:r>
          <w:r w:rsidRPr="004E3590">
            <w:rPr>
              <w:noProof/>
            </w:rPr>
            <w:tab/>
          </w:r>
          <w:r w:rsidRPr="004E3590">
            <w:rPr>
              <w:noProof/>
            </w:rPr>
            <w:fldChar w:fldCharType="begin"/>
          </w:r>
          <w:r w:rsidRPr="004E3590">
            <w:rPr>
              <w:noProof/>
            </w:rPr>
            <w:instrText xml:space="preserve"> PAGEREF _Toc313471463 \h </w:instrText>
          </w:r>
          <w:r w:rsidRPr="004E3590">
            <w:rPr>
              <w:noProof/>
            </w:rPr>
          </w:r>
          <w:r w:rsidRPr="004E3590">
            <w:rPr>
              <w:noProof/>
            </w:rPr>
            <w:fldChar w:fldCharType="separate"/>
          </w:r>
          <w:r w:rsidRPr="004E3590">
            <w:rPr>
              <w:noProof/>
            </w:rPr>
            <w:t>22</w:t>
          </w:r>
          <w:r w:rsidRPr="004E3590">
            <w:rPr>
              <w:noProof/>
            </w:rPr>
            <w:fldChar w:fldCharType="end"/>
          </w:r>
        </w:p>
        <w:p w14:paraId="5866198B" w14:textId="77777777" w:rsidR="004E3590" w:rsidRPr="004E3590" w:rsidRDefault="004E3590" w:rsidP="006A5780">
          <w:pPr>
            <w:pStyle w:val="TM1"/>
            <w:tabs>
              <w:tab w:val="right" w:leader="dot" w:pos="9394"/>
            </w:tabs>
            <w:spacing w:after="0" w:line="480" w:lineRule="auto"/>
            <w:jc w:val="both"/>
            <w:rPr>
              <w:noProof/>
              <w:lang w:eastAsia="ja-JP"/>
            </w:rPr>
          </w:pPr>
          <w:r w:rsidRPr="004E3590">
            <w:rPr>
              <w:rFonts w:ascii="Times New Roman" w:hAnsi="Times New Roman" w:cs="Times New Roman"/>
              <w:b/>
              <w:noProof/>
            </w:rPr>
            <w:t>4. Quel modèle d’accord pour l’Europe ?</w:t>
          </w:r>
          <w:r w:rsidRPr="004E3590">
            <w:rPr>
              <w:noProof/>
            </w:rPr>
            <w:tab/>
          </w:r>
          <w:r w:rsidRPr="004E3590">
            <w:rPr>
              <w:noProof/>
            </w:rPr>
            <w:fldChar w:fldCharType="begin"/>
          </w:r>
          <w:r w:rsidRPr="004E3590">
            <w:rPr>
              <w:noProof/>
            </w:rPr>
            <w:instrText xml:space="preserve"> PAGEREF _Toc313471464 \h </w:instrText>
          </w:r>
          <w:r w:rsidRPr="004E3590">
            <w:rPr>
              <w:noProof/>
            </w:rPr>
          </w:r>
          <w:r w:rsidRPr="004E3590">
            <w:rPr>
              <w:noProof/>
            </w:rPr>
            <w:fldChar w:fldCharType="separate"/>
          </w:r>
          <w:r w:rsidRPr="004E3590">
            <w:rPr>
              <w:noProof/>
            </w:rPr>
            <w:t>24</w:t>
          </w:r>
          <w:r w:rsidRPr="004E3590">
            <w:rPr>
              <w:noProof/>
            </w:rPr>
            <w:fldChar w:fldCharType="end"/>
          </w:r>
        </w:p>
        <w:p w14:paraId="5FEEDDDC" w14:textId="77777777" w:rsidR="004E3590" w:rsidRPr="004E3590" w:rsidRDefault="004E3590" w:rsidP="006A5780">
          <w:pPr>
            <w:pStyle w:val="TM2"/>
            <w:spacing w:after="0" w:line="480" w:lineRule="auto"/>
            <w:jc w:val="both"/>
            <w:rPr>
              <w:noProof/>
              <w:lang w:eastAsia="ja-JP"/>
            </w:rPr>
          </w:pPr>
          <w:r w:rsidRPr="004E3590">
            <w:rPr>
              <w:rFonts w:ascii="Times New Roman" w:hAnsi="Times New Roman" w:cs="Times New Roman"/>
              <w:b/>
              <w:noProof/>
            </w:rPr>
            <w:t>4.1 Un champ d’application et des définitions restreints</w:t>
          </w:r>
          <w:r w:rsidRPr="004E3590">
            <w:rPr>
              <w:noProof/>
            </w:rPr>
            <w:tab/>
          </w:r>
          <w:r w:rsidRPr="004E3590">
            <w:rPr>
              <w:noProof/>
            </w:rPr>
            <w:fldChar w:fldCharType="begin"/>
          </w:r>
          <w:r w:rsidRPr="004E3590">
            <w:rPr>
              <w:noProof/>
            </w:rPr>
            <w:instrText xml:space="preserve"> PAGEREF _Toc313471465 \h </w:instrText>
          </w:r>
          <w:r w:rsidRPr="004E3590">
            <w:rPr>
              <w:noProof/>
            </w:rPr>
          </w:r>
          <w:r w:rsidRPr="004E3590">
            <w:rPr>
              <w:noProof/>
            </w:rPr>
            <w:fldChar w:fldCharType="separate"/>
          </w:r>
          <w:r w:rsidRPr="004E3590">
            <w:rPr>
              <w:noProof/>
            </w:rPr>
            <w:t>25</w:t>
          </w:r>
          <w:r w:rsidRPr="004E3590">
            <w:rPr>
              <w:noProof/>
            </w:rPr>
            <w:fldChar w:fldCharType="end"/>
          </w:r>
        </w:p>
        <w:p w14:paraId="69C21E21" w14:textId="77777777" w:rsidR="004E3590" w:rsidRPr="004E3590" w:rsidRDefault="004E3590" w:rsidP="004B3679">
          <w:pPr>
            <w:pStyle w:val="TM3"/>
            <w:rPr>
              <w:rFonts w:cstheme="minorBidi"/>
              <w:noProof/>
              <w:sz w:val="24"/>
              <w:szCs w:val="24"/>
              <w:lang w:eastAsia="ja-JP"/>
            </w:rPr>
          </w:pPr>
          <w:r w:rsidRPr="004E3590">
            <w:rPr>
              <w:noProof/>
            </w:rPr>
            <w:t>4.1.1 Un champ d’application exclusif</w:t>
          </w:r>
          <w:r w:rsidRPr="004E3590">
            <w:rPr>
              <w:noProof/>
            </w:rPr>
            <w:tab/>
          </w:r>
          <w:r w:rsidRPr="004E3590">
            <w:rPr>
              <w:noProof/>
            </w:rPr>
            <w:fldChar w:fldCharType="begin"/>
          </w:r>
          <w:r w:rsidRPr="004E3590">
            <w:rPr>
              <w:noProof/>
            </w:rPr>
            <w:instrText xml:space="preserve"> PAGEREF _Toc313471466 \h </w:instrText>
          </w:r>
          <w:r w:rsidRPr="004E3590">
            <w:rPr>
              <w:noProof/>
            </w:rPr>
          </w:r>
          <w:r w:rsidRPr="004E3590">
            <w:rPr>
              <w:noProof/>
            </w:rPr>
            <w:fldChar w:fldCharType="separate"/>
          </w:r>
          <w:r w:rsidRPr="004E3590">
            <w:rPr>
              <w:noProof/>
            </w:rPr>
            <w:t>25</w:t>
          </w:r>
          <w:r w:rsidRPr="004E3590">
            <w:rPr>
              <w:noProof/>
            </w:rPr>
            <w:fldChar w:fldCharType="end"/>
          </w:r>
        </w:p>
        <w:p w14:paraId="570AD6B1" w14:textId="77777777" w:rsidR="004E3590" w:rsidRPr="004E3590" w:rsidRDefault="004E3590" w:rsidP="004B3679">
          <w:pPr>
            <w:pStyle w:val="TM3"/>
            <w:rPr>
              <w:rFonts w:cstheme="minorBidi"/>
              <w:noProof/>
              <w:sz w:val="24"/>
              <w:szCs w:val="24"/>
              <w:lang w:eastAsia="ja-JP"/>
            </w:rPr>
          </w:pPr>
          <w:r w:rsidRPr="004E3590">
            <w:rPr>
              <w:noProof/>
            </w:rPr>
            <w:t>4.1.2 Un investisseur et un investissement : quelles définitions juridiques ?</w:t>
          </w:r>
          <w:r w:rsidRPr="004E3590">
            <w:rPr>
              <w:noProof/>
            </w:rPr>
            <w:tab/>
          </w:r>
          <w:r w:rsidRPr="004E3590">
            <w:rPr>
              <w:noProof/>
            </w:rPr>
            <w:fldChar w:fldCharType="begin"/>
          </w:r>
          <w:r w:rsidRPr="004E3590">
            <w:rPr>
              <w:noProof/>
            </w:rPr>
            <w:instrText xml:space="preserve"> PAGEREF _Toc313471467 \h </w:instrText>
          </w:r>
          <w:r w:rsidRPr="004E3590">
            <w:rPr>
              <w:noProof/>
            </w:rPr>
          </w:r>
          <w:r w:rsidRPr="004E3590">
            <w:rPr>
              <w:noProof/>
            </w:rPr>
            <w:fldChar w:fldCharType="separate"/>
          </w:r>
          <w:r w:rsidRPr="004E3590">
            <w:rPr>
              <w:noProof/>
            </w:rPr>
            <w:t>26</w:t>
          </w:r>
          <w:r w:rsidRPr="004E3590">
            <w:rPr>
              <w:noProof/>
            </w:rPr>
            <w:fldChar w:fldCharType="end"/>
          </w:r>
        </w:p>
        <w:p w14:paraId="55DB240F" w14:textId="77777777" w:rsidR="004E3590" w:rsidRPr="004E3590" w:rsidRDefault="004E3590" w:rsidP="006A5780">
          <w:pPr>
            <w:pStyle w:val="TM2"/>
            <w:spacing w:after="0" w:line="480" w:lineRule="auto"/>
            <w:jc w:val="both"/>
            <w:rPr>
              <w:noProof/>
              <w:lang w:eastAsia="ja-JP"/>
            </w:rPr>
          </w:pPr>
          <w:r w:rsidRPr="004E3590">
            <w:rPr>
              <w:rFonts w:ascii="Times New Roman" w:hAnsi="Times New Roman" w:cs="Times New Roman"/>
              <w:b/>
              <w:noProof/>
            </w:rPr>
            <w:t>4.2 Des standards de protection améliorés, mais pas si nouveaux</w:t>
          </w:r>
          <w:r w:rsidRPr="004E3590">
            <w:rPr>
              <w:noProof/>
            </w:rPr>
            <w:tab/>
          </w:r>
          <w:r w:rsidRPr="004E3590">
            <w:rPr>
              <w:noProof/>
            </w:rPr>
            <w:fldChar w:fldCharType="begin"/>
          </w:r>
          <w:r w:rsidRPr="004E3590">
            <w:rPr>
              <w:noProof/>
            </w:rPr>
            <w:instrText xml:space="preserve"> PAGEREF _Toc313471468 \h </w:instrText>
          </w:r>
          <w:r w:rsidRPr="004E3590">
            <w:rPr>
              <w:noProof/>
            </w:rPr>
          </w:r>
          <w:r w:rsidRPr="004E3590">
            <w:rPr>
              <w:noProof/>
            </w:rPr>
            <w:fldChar w:fldCharType="separate"/>
          </w:r>
          <w:r w:rsidRPr="004E3590">
            <w:rPr>
              <w:noProof/>
            </w:rPr>
            <w:t>30</w:t>
          </w:r>
          <w:r w:rsidRPr="004E3590">
            <w:rPr>
              <w:noProof/>
            </w:rPr>
            <w:fldChar w:fldCharType="end"/>
          </w:r>
        </w:p>
        <w:p w14:paraId="53033288" w14:textId="77777777" w:rsidR="004E3590" w:rsidRPr="004E3590" w:rsidRDefault="004E3590" w:rsidP="004B3679">
          <w:pPr>
            <w:pStyle w:val="TM3"/>
            <w:rPr>
              <w:rFonts w:cstheme="minorBidi"/>
              <w:noProof/>
              <w:sz w:val="24"/>
              <w:szCs w:val="24"/>
              <w:lang w:eastAsia="ja-JP"/>
            </w:rPr>
          </w:pPr>
          <w:r w:rsidRPr="004E3590">
            <w:rPr>
              <w:noProof/>
            </w:rPr>
            <w:t>4.2.1 L’adoption du modèle de libéralisation commerciale propre à l’OMC au sein du droit international des investissements</w:t>
          </w:r>
          <w:r w:rsidRPr="004E3590">
            <w:rPr>
              <w:noProof/>
            </w:rPr>
            <w:tab/>
          </w:r>
          <w:r w:rsidRPr="004E3590">
            <w:rPr>
              <w:noProof/>
            </w:rPr>
            <w:fldChar w:fldCharType="begin"/>
          </w:r>
          <w:r w:rsidRPr="004E3590">
            <w:rPr>
              <w:noProof/>
            </w:rPr>
            <w:instrText xml:space="preserve"> PAGEREF _Toc313471469 \h </w:instrText>
          </w:r>
          <w:r w:rsidRPr="004E3590">
            <w:rPr>
              <w:noProof/>
            </w:rPr>
          </w:r>
          <w:r w:rsidRPr="004E3590">
            <w:rPr>
              <w:noProof/>
            </w:rPr>
            <w:fldChar w:fldCharType="separate"/>
          </w:r>
          <w:r w:rsidRPr="004E3590">
            <w:rPr>
              <w:noProof/>
            </w:rPr>
            <w:t>30</w:t>
          </w:r>
          <w:r w:rsidRPr="004E3590">
            <w:rPr>
              <w:noProof/>
            </w:rPr>
            <w:fldChar w:fldCharType="end"/>
          </w:r>
        </w:p>
        <w:p w14:paraId="3CB67881" w14:textId="77777777" w:rsidR="004E3590" w:rsidRPr="004E3590" w:rsidRDefault="004E3590" w:rsidP="004B3679">
          <w:pPr>
            <w:pStyle w:val="TM3"/>
            <w:rPr>
              <w:rFonts w:cstheme="minorBidi"/>
              <w:noProof/>
              <w:sz w:val="24"/>
              <w:szCs w:val="24"/>
              <w:lang w:eastAsia="ja-JP"/>
            </w:rPr>
          </w:pPr>
          <w:r w:rsidRPr="004E3590">
            <w:rPr>
              <w:noProof/>
            </w:rPr>
            <w:t>4.2.2 Une adoption incomplète des normes de non-discrimination américaine</w:t>
          </w:r>
          <w:r w:rsidRPr="004E3590">
            <w:rPr>
              <w:noProof/>
            </w:rPr>
            <w:tab/>
          </w:r>
          <w:r w:rsidRPr="004E3590">
            <w:rPr>
              <w:noProof/>
            </w:rPr>
            <w:fldChar w:fldCharType="begin"/>
          </w:r>
          <w:r w:rsidRPr="004E3590">
            <w:rPr>
              <w:noProof/>
            </w:rPr>
            <w:instrText xml:space="preserve"> PAGEREF _Toc313471470 \h </w:instrText>
          </w:r>
          <w:r w:rsidRPr="004E3590">
            <w:rPr>
              <w:noProof/>
            </w:rPr>
          </w:r>
          <w:r w:rsidRPr="004E3590">
            <w:rPr>
              <w:noProof/>
            </w:rPr>
            <w:fldChar w:fldCharType="separate"/>
          </w:r>
          <w:r w:rsidRPr="004E3590">
            <w:rPr>
              <w:noProof/>
            </w:rPr>
            <w:t>32</w:t>
          </w:r>
          <w:r w:rsidRPr="004E3590">
            <w:rPr>
              <w:noProof/>
            </w:rPr>
            <w:fldChar w:fldCharType="end"/>
          </w:r>
        </w:p>
        <w:p w14:paraId="3F39B252" w14:textId="77777777" w:rsidR="004E3590" w:rsidRPr="004E3590" w:rsidRDefault="004E3590" w:rsidP="004B3679">
          <w:pPr>
            <w:pStyle w:val="TM3"/>
            <w:rPr>
              <w:rFonts w:cstheme="minorBidi"/>
              <w:noProof/>
              <w:sz w:val="24"/>
              <w:szCs w:val="24"/>
              <w:lang w:eastAsia="ja-JP"/>
            </w:rPr>
          </w:pPr>
          <w:r w:rsidRPr="004E3590">
            <w:rPr>
              <w:noProof/>
            </w:rPr>
            <w:lastRenderedPageBreak/>
            <w:t>4.2.3 L’évolution de la norme de traitement des investissements : une réponse prévisible à la jurisprudence internationale</w:t>
          </w:r>
          <w:r w:rsidRPr="004E3590">
            <w:rPr>
              <w:noProof/>
            </w:rPr>
            <w:tab/>
          </w:r>
          <w:r w:rsidRPr="004E3590">
            <w:rPr>
              <w:noProof/>
            </w:rPr>
            <w:fldChar w:fldCharType="begin"/>
          </w:r>
          <w:r w:rsidRPr="004E3590">
            <w:rPr>
              <w:noProof/>
            </w:rPr>
            <w:instrText xml:space="preserve"> PAGEREF _Toc313471471 \h </w:instrText>
          </w:r>
          <w:r w:rsidRPr="004E3590">
            <w:rPr>
              <w:noProof/>
            </w:rPr>
          </w:r>
          <w:r w:rsidRPr="004E3590">
            <w:rPr>
              <w:noProof/>
            </w:rPr>
            <w:fldChar w:fldCharType="separate"/>
          </w:r>
          <w:r w:rsidRPr="004E3590">
            <w:rPr>
              <w:noProof/>
            </w:rPr>
            <w:t>35</w:t>
          </w:r>
          <w:r w:rsidRPr="004E3590">
            <w:rPr>
              <w:noProof/>
            </w:rPr>
            <w:fldChar w:fldCharType="end"/>
          </w:r>
        </w:p>
        <w:p w14:paraId="237ADC3E" w14:textId="77777777" w:rsidR="004E3590" w:rsidRPr="004E3590" w:rsidRDefault="004E3590" w:rsidP="004B3679">
          <w:pPr>
            <w:pStyle w:val="TM3"/>
            <w:rPr>
              <w:rFonts w:cstheme="minorBidi"/>
              <w:noProof/>
              <w:sz w:val="24"/>
              <w:szCs w:val="24"/>
              <w:lang w:eastAsia="ja-JP"/>
            </w:rPr>
          </w:pPr>
          <w:r w:rsidRPr="004E3590">
            <w:rPr>
              <w:noProof/>
            </w:rPr>
            <w:t>4.2.4 Une adoption presque totale de la norme d’expropriation indirecte américaine</w:t>
          </w:r>
          <w:r w:rsidRPr="004E3590">
            <w:rPr>
              <w:noProof/>
            </w:rPr>
            <w:tab/>
          </w:r>
          <w:r w:rsidRPr="004E3590">
            <w:rPr>
              <w:noProof/>
            </w:rPr>
            <w:fldChar w:fldCharType="begin"/>
          </w:r>
          <w:r w:rsidRPr="004E3590">
            <w:rPr>
              <w:noProof/>
            </w:rPr>
            <w:instrText xml:space="preserve"> PAGEREF _Toc313471472 \h </w:instrText>
          </w:r>
          <w:r w:rsidRPr="004E3590">
            <w:rPr>
              <w:noProof/>
            </w:rPr>
          </w:r>
          <w:r w:rsidRPr="004E3590">
            <w:rPr>
              <w:noProof/>
            </w:rPr>
            <w:fldChar w:fldCharType="separate"/>
          </w:r>
          <w:r w:rsidRPr="004E3590">
            <w:rPr>
              <w:noProof/>
            </w:rPr>
            <w:t>38</w:t>
          </w:r>
          <w:r w:rsidRPr="004E3590">
            <w:rPr>
              <w:noProof/>
            </w:rPr>
            <w:fldChar w:fldCharType="end"/>
          </w:r>
        </w:p>
        <w:p w14:paraId="3B5FF1F1" w14:textId="477351CE" w:rsidR="004E3590" w:rsidRPr="004E3590" w:rsidRDefault="0091332B" w:rsidP="004B3679">
          <w:pPr>
            <w:pStyle w:val="TM3"/>
            <w:rPr>
              <w:rFonts w:cstheme="minorBidi"/>
              <w:noProof/>
              <w:sz w:val="24"/>
              <w:szCs w:val="24"/>
              <w:lang w:eastAsia="ja-JP"/>
            </w:rPr>
          </w:pPr>
          <w:r>
            <w:rPr>
              <w:noProof/>
            </w:rPr>
            <w:t>4.2.5</w:t>
          </w:r>
          <w:r w:rsidR="004E3590" w:rsidRPr="004E3590">
            <w:rPr>
              <w:noProof/>
            </w:rPr>
            <w:t xml:space="preserve"> Une liberté de transfert limitée par des conditions européennes</w:t>
          </w:r>
          <w:r w:rsidR="004E3590" w:rsidRPr="004E3590">
            <w:rPr>
              <w:noProof/>
            </w:rPr>
            <w:tab/>
          </w:r>
          <w:r w:rsidR="004E3590" w:rsidRPr="004E3590">
            <w:rPr>
              <w:noProof/>
            </w:rPr>
            <w:fldChar w:fldCharType="begin"/>
          </w:r>
          <w:r w:rsidR="004E3590" w:rsidRPr="004E3590">
            <w:rPr>
              <w:noProof/>
            </w:rPr>
            <w:instrText xml:space="preserve"> PAGEREF _Toc313471473 \h </w:instrText>
          </w:r>
          <w:r w:rsidR="004E3590" w:rsidRPr="004E3590">
            <w:rPr>
              <w:noProof/>
            </w:rPr>
          </w:r>
          <w:r w:rsidR="004E3590" w:rsidRPr="004E3590">
            <w:rPr>
              <w:noProof/>
            </w:rPr>
            <w:fldChar w:fldCharType="separate"/>
          </w:r>
          <w:r w:rsidR="004E3590" w:rsidRPr="004E3590">
            <w:rPr>
              <w:noProof/>
            </w:rPr>
            <w:t>40</w:t>
          </w:r>
          <w:r w:rsidR="004E3590" w:rsidRPr="004E3590">
            <w:rPr>
              <w:noProof/>
            </w:rPr>
            <w:fldChar w:fldCharType="end"/>
          </w:r>
        </w:p>
        <w:p w14:paraId="6AD185F6" w14:textId="77777777" w:rsidR="004E3590" w:rsidRPr="004E3590" w:rsidRDefault="004E3590" w:rsidP="004B3679">
          <w:pPr>
            <w:pStyle w:val="TM3"/>
            <w:rPr>
              <w:rFonts w:cstheme="minorBidi"/>
              <w:noProof/>
              <w:sz w:val="24"/>
              <w:szCs w:val="24"/>
              <w:lang w:eastAsia="ja-JP"/>
            </w:rPr>
          </w:pPr>
          <w:r w:rsidRPr="004E3590">
            <w:rPr>
              <w:noProof/>
            </w:rPr>
            <w:t>4.2.6 Quel futur pour la clause parapluie ?</w:t>
          </w:r>
          <w:r w:rsidRPr="004E3590">
            <w:rPr>
              <w:noProof/>
            </w:rPr>
            <w:tab/>
          </w:r>
          <w:r w:rsidRPr="004E3590">
            <w:rPr>
              <w:noProof/>
            </w:rPr>
            <w:fldChar w:fldCharType="begin"/>
          </w:r>
          <w:r w:rsidRPr="004E3590">
            <w:rPr>
              <w:noProof/>
            </w:rPr>
            <w:instrText xml:space="preserve"> PAGEREF _Toc313471474 \h </w:instrText>
          </w:r>
          <w:r w:rsidRPr="004E3590">
            <w:rPr>
              <w:noProof/>
            </w:rPr>
          </w:r>
          <w:r w:rsidRPr="004E3590">
            <w:rPr>
              <w:noProof/>
            </w:rPr>
            <w:fldChar w:fldCharType="separate"/>
          </w:r>
          <w:r w:rsidRPr="004E3590">
            <w:rPr>
              <w:noProof/>
            </w:rPr>
            <w:t>41</w:t>
          </w:r>
          <w:r w:rsidRPr="004E3590">
            <w:rPr>
              <w:noProof/>
            </w:rPr>
            <w:fldChar w:fldCharType="end"/>
          </w:r>
        </w:p>
        <w:p w14:paraId="030D1F4A" w14:textId="77777777" w:rsidR="004E3590" w:rsidRPr="004E3590" w:rsidRDefault="004E3590" w:rsidP="006A5780">
          <w:pPr>
            <w:pStyle w:val="TM2"/>
            <w:spacing w:after="0" w:line="480" w:lineRule="auto"/>
            <w:jc w:val="both"/>
            <w:rPr>
              <w:noProof/>
              <w:lang w:eastAsia="ja-JP"/>
            </w:rPr>
          </w:pPr>
          <w:r w:rsidRPr="004E3590">
            <w:rPr>
              <w:rFonts w:ascii="Times New Roman" w:hAnsi="Times New Roman" w:cs="Times New Roman"/>
              <w:b/>
              <w:noProof/>
            </w:rPr>
            <w:t>4.3 Une exception générale limitée</w:t>
          </w:r>
          <w:r w:rsidRPr="004E3590">
            <w:rPr>
              <w:noProof/>
            </w:rPr>
            <w:tab/>
          </w:r>
          <w:r w:rsidRPr="004E3590">
            <w:rPr>
              <w:noProof/>
            </w:rPr>
            <w:fldChar w:fldCharType="begin"/>
          </w:r>
          <w:r w:rsidRPr="004E3590">
            <w:rPr>
              <w:noProof/>
            </w:rPr>
            <w:instrText xml:space="preserve"> PAGEREF _Toc313471475 \h </w:instrText>
          </w:r>
          <w:r w:rsidRPr="004E3590">
            <w:rPr>
              <w:noProof/>
            </w:rPr>
          </w:r>
          <w:r w:rsidRPr="004E3590">
            <w:rPr>
              <w:noProof/>
            </w:rPr>
            <w:fldChar w:fldCharType="separate"/>
          </w:r>
          <w:r w:rsidRPr="004E3590">
            <w:rPr>
              <w:noProof/>
            </w:rPr>
            <w:t>42</w:t>
          </w:r>
          <w:r w:rsidRPr="004E3590">
            <w:rPr>
              <w:noProof/>
            </w:rPr>
            <w:fldChar w:fldCharType="end"/>
          </w:r>
        </w:p>
        <w:p w14:paraId="2976032C" w14:textId="77777777" w:rsidR="004E3590" w:rsidRPr="004E3590" w:rsidRDefault="004E3590" w:rsidP="006A5780">
          <w:pPr>
            <w:pStyle w:val="TM2"/>
            <w:spacing w:after="0" w:line="480" w:lineRule="auto"/>
            <w:jc w:val="both"/>
            <w:rPr>
              <w:noProof/>
              <w:lang w:eastAsia="ja-JP"/>
            </w:rPr>
          </w:pPr>
          <w:r w:rsidRPr="004E3590">
            <w:rPr>
              <w:rFonts w:ascii="Times New Roman" w:hAnsi="Times New Roman" w:cs="Times New Roman"/>
              <w:b/>
              <w:noProof/>
            </w:rPr>
            <w:t>4.4 L’arbitrage investisseur – État : un nouveau langage, mais peu de changements concrets</w:t>
          </w:r>
          <w:r w:rsidRPr="004E3590">
            <w:rPr>
              <w:noProof/>
            </w:rPr>
            <w:tab/>
          </w:r>
          <w:r w:rsidRPr="004E3590">
            <w:rPr>
              <w:noProof/>
            </w:rPr>
            <w:fldChar w:fldCharType="begin"/>
          </w:r>
          <w:r w:rsidRPr="004E3590">
            <w:rPr>
              <w:noProof/>
            </w:rPr>
            <w:instrText xml:space="preserve"> PAGEREF _Toc313471476 \h </w:instrText>
          </w:r>
          <w:r w:rsidRPr="004E3590">
            <w:rPr>
              <w:noProof/>
            </w:rPr>
          </w:r>
          <w:r w:rsidRPr="004E3590">
            <w:rPr>
              <w:noProof/>
            </w:rPr>
            <w:fldChar w:fldCharType="separate"/>
          </w:r>
          <w:r w:rsidRPr="004E3590">
            <w:rPr>
              <w:noProof/>
            </w:rPr>
            <w:t>43</w:t>
          </w:r>
          <w:r w:rsidRPr="004E3590">
            <w:rPr>
              <w:noProof/>
            </w:rPr>
            <w:fldChar w:fldCharType="end"/>
          </w:r>
        </w:p>
        <w:p w14:paraId="2F6465B0" w14:textId="18B5339E" w:rsidR="004E3590" w:rsidRPr="004E3590" w:rsidRDefault="004E3590" w:rsidP="004B3679">
          <w:pPr>
            <w:pStyle w:val="TM3"/>
            <w:rPr>
              <w:rFonts w:cstheme="minorBidi"/>
              <w:noProof/>
              <w:sz w:val="24"/>
              <w:szCs w:val="24"/>
              <w:lang w:eastAsia="ja-JP"/>
            </w:rPr>
          </w:pPr>
          <w:r w:rsidRPr="004E3590">
            <w:rPr>
              <w:noProof/>
            </w:rPr>
            <w:t>4.4.1 Des mécanismes non-juridictionnels en apparence important</w:t>
          </w:r>
          <w:r w:rsidR="006A5780">
            <w:rPr>
              <w:noProof/>
            </w:rPr>
            <w:t>s</w:t>
          </w:r>
          <w:r w:rsidRPr="004E3590">
            <w:rPr>
              <w:noProof/>
            </w:rPr>
            <w:tab/>
          </w:r>
          <w:r w:rsidRPr="004E3590">
            <w:rPr>
              <w:noProof/>
            </w:rPr>
            <w:fldChar w:fldCharType="begin"/>
          </w:r>
          <w:r w:rsidRPr="004E3590">
            <w:rPr>
              <w:noProof/>
            </w:rPr>
            <w:instrText xml:space="preserve"> PAGEREF _Toc313471477 \h </w:instrText>
          </w:r>
          <w:r w:rsidRPr="004E3590">
            <w:rPr>
              <w:noProof/>
            </w:rPr>
          </w:r>
          <w:r w:rsidRPr="004E3590">
            <w:rPr>
              <w:noProof/>
            </w:rPr>
            <w:fldChar w:fldCharType="separate"/>
          </w:r>
          <w:r w:rsidRPr="004E3590">
            <w:rPr>
              <w:noProof/>
            </w:rPr>
            <w:t>44</w:t>
          </w:r>
          <w:r w:rsidRPr="004E3590">
            <w:rPr>
              <w:noProof/>
            </w:rPr>
            <w:fldChar w:fldCharType="end"/>
          </w:r>
        </w:p>
        <w:p w14:paraId="399DCBFB" w14:textId="19D99661" w:rsidR="004E3590" w:rsidRPr="004E3590" w:rsidRDefault="004E3590" w:rsidP="004B3679">
          <w:pPr>
            <w:pStyle w:val="TM3"/>
            <w:rPr>
              <w:rFonts w:cstheme="minorBidi"/>
              <w:noProof/>
              <w:sz w:val="24"/>
              <w:szCs w:val="24"/>
              <w:lang w:eastAsia="ja-JP"/>
            </w:rPr>
          </w:pPr>
          <w:r w:rsidRPr="004E3590">
            <w:rPr>
              <w:noProof/>
            </w:rPr>
            <w:t>4.4.2 Des procédures plus détaillées, mais peu de changements réels</w:t>
          </w:r>
          <w:r w:rsidRPr="004E3590">
            <w:rPr>
              <w:noProof/>
            </w:rPr>
            <w:tab/>
          </w:r>
          <w:r w:rsidRPr="004E3590">
            <w:rPr>
              <w:noProof/>
            </w:rPr>
            <w:fldChar w:fldCharType="begin"/>
          </w:r>
          <w:r w:rsidRPr="004E3590">
            <w:rPr>
              <w:noProof/>
            </w:rPr>
            <w:instrText xml:space="preserve"> PAGEREF _Toc313471478 \h </w:instrText>
          </w:r>
          <w:r w:rsidRPr="004E3590">
            <w:rPr>
              <w:noProof/>
            </w:rPr>
          </w:r>
          <w:r w:rsidRPr="004E3590">
            <w:rPr>
              <w:noProof/>
            </w:rPr>
            <w:fldChar w:fldCharType="separate"/>
          </w:r>
          <w:r w:rsidRPr="004E3590">
            <w:rPr>
              <w:noProof/>
            </w:rPr>
            <w:t>45</w:t>
          </w:r>
          <w:r w:rsidRPr="004E3590">
            <w:rPr>
              <w:noProof/>
            </w:rPr>
            <w:fldChar w:fldCharType="end"/>
          </w:r>
        </w:p>
        <w:p w14:paraId="75A73B1D" w14:textId="77777777" w:rsidR="004E3590" w:rsidRPr="004E3590" w:rsidRDefault="004E3590" w:rsidP="004B3679">
          <w:pPr>
            <w:pStyle w:val="TM3"/>
            <w:rPr>
              <w:rFonts w:cstheme="minorBidi"/>
              <w:noProof/>
              <w:sz w:val="24"/>
              <w:szCs w:val="24"/>
              <w:lang w:eastAsia="ja-JP"/>
            </w:rPr>
          </w:pPr>
          <w:r w:rsidRPr="004E3590">
            <w:rPr>
              <w:noProof/>
            </w:rPr>
            <w:t>4.4.3 Une procédure d’arbitrage au langage renouvelé et en apparence revampée, mais loin d’être inédite</w:t>
          </w:r>
          <w:r w:rsidRPr="004E3590">
            <w:rPr>
              <w:noProof/>
            </w:rPr>
            <w:tab/>
          </w:r>
          <w:r w:rsidRPr="004E3590">
            <w:rPr>
              <w:noProof/>
            </w:rPr>
            <w:fldChar w:fldCharType="begin"/>
          </w:r>
          <w:r w:rsidRPr="004E3590">
            <w:rPr>
              <w:noProof/>
            </w:rPr>
            <w:instrText xml:space="preserve"> PAGEREF _Toc313471479 \h </w:instrText>
          </w:r>
          <w:r w:rsidRPr="004E3590">
            <w:rPr>
              <w:noProof/>
            </w:rPr>
          </w:r>
          <w:r w:rsidRPr="004E3590">
            <w:rPr>
              <w:noProof/>
            </w:rPr>
            <w:fldChar w:fldCharType="separate"/>
          </w:r>
          <w:r w:rsidRPr="004E3590">
            <w:rPr>
              <w:noProof/>
            </w:rPr>
            <w:t>47</w:t>
          </w:r>
          <w:r w:rsidRPr="004E3590">
            <w:rPr>
              <w:noProof/>
            </w:rPr>
            <w:fldChar w:fldCharType="end"/>
          </w:r>
        </w:p>
        <w:p w14:paraId="2B93CD0F" w14:textId="77777777" w:rsidR="004E3590" w:rsidRPr="004E3590" w:rsidRDefault="004E3590" w:rsidP="004B3679">
          <w:pPr>
            <w:pStyle w:val="TM3"/>
            <w:rPr>
              <w:rFonts w:cstheme="minorBidi"/>
              <w:noProof/>
              <w:sz w:val="24"/>
              <w:szCs w:val="24"/>
              <w:lang w:eastAsia="ja-JP"/>
            </w:rPr>
          </w:pPr>
          <w:r w:rsidRPr="004E3590">
            <w:rPr>
              <w:noProof/>
              <w:lang w:val="fr-FR"/>
            </w:rPr>
            <w:t>4.4.4 Des règles de transparence dans la continuité des travaux internationaux</w:t>
          </w:r>
          <w:r w:rsidRPr="004E3590">
            <w:rPr>
              <w:noProof/>
            </w:rPr>
            <w:tab/>
          </w:r>
          <w:r w:rsidRPr="004E3590">
            <w:rPr>
              <w:noProof/>
            </w:rPr>
            <w:fldChar w:fldCharType="begin"/>
          </w:r>
          <w:r w:rsidRPr="004E3590">
            <w:rPr>
              <w:noProof/>
            </w:rPr>
            <w:instrText xml:space="preserve"> PAGEREF _Toc313471480 \h </w:instrText>
          </w:r>
          <w:r w:rsidRPr="004E3590">
            <w:rPr>
              <w:noProof/>
            </w:rPr>
          </w:r>
          <w:r w:rsidRPr="004E3590">
            <w:rPr>
              <w:noProof/>
            </w:rPr>
            <w:fldChar w:fldCharType="separate"/>
          </w:r>
          <w:r w:rsidRPr="004E3590">
            <w:rPr>
              <w:noProof/>
            </w:rPr>
            <w:t>48</w:t>
          </w:r>
          <w:r w:rsidRPr="004E3590">
            <w:rPr>
              <w:noProof/>
            </w:rPr>
            <w:fldChar w:fldCharType="end"/>
          </w:r>
        </w:p>
        <w:p w14:paraId="602E864C" w14:textId="77777777" w:rsidR="004E3590" w:rsidRPr="004E3590" w:rsidRDefault="004E3590" w:rsidP="004B3679">
          <w:pPr>
            <w:pStyle w:val="TM3"/>
            <w:rPr>
              <w:rFonts w:cstheme="minorBidi"/>
              <w:noProof/>
              <w:sz w:val="24"/>
              <w:szCs w:val="24"/>
              <w:lang w:eastAsia="ja-JP"/>
            </w:rPr>
          </w:pPr>
          <w:r w:rsidRPr="004E3590">
            <w:rPr>
              <w:noProof/>
              <w:lang w:val="fr-FR"/>
            </w:rPr>
            <w:t>4.4.5 Une réparation similaire pour de nouvelles raisons</w:t>
          </w:r>
          <w:r w:rsidRPr="004E3590">
            <w:rPr>
              <w:noProof/>
            </w:rPr>
            <w:tab/>
          </w:r>
          <w:r w:rsidRPr="004E3590">
            <w:rPr>
              <w:noProof/>
            </w:rPr>
            <w:fldChar w:fldCharType="begin"/>
          </w:r>
          <w:r w:rsidRPr="004E3590">
            <w:rPr>
              <w:noProof/>
            </w:rPr>
            <w:instrText xml:space="preserve"> PAGEREF _Toc313471481 \h </w:instrText>
          </w:r>
          <w:r w:rsidRPr="004E3590">
            <w:rPr>
              <w:noProof/>
            </w:rPr>
          </w:r>
          <w:r w:rsidRPr="004E3590">
            <w:rPr>
              <w:noProof/>
            </w:rPr>
            <w:fldChar w:fldCharType="separate"/>
          </w:r>
          <w:r w:rsidRPr="004E3590">
            <w:rPr>
              <w:noProof/>
            </w:rPr>
            <w:t>49</w:t>
          </w:r>
          <w:r w:rsidRPr="004E3590">
            <w:rPr>
              <w:noProof/>
            </w:rPr>
            <w:fldChar w:fldCharType="end"/>
          </w:r>
        </w:p>
        <w:p w14:paraId="73E3073E" w14:textId="77777777" w:rsidR="004E3590" w:rsidRPr="004E3590" w:rsidRDefault="004E3590" w:rsidP="006A5780">
          <w:pPr>
            <w:pStyle w:val="TM1"/>
            <w:tabs>
              <w:tab w:val="right" w:leader="dot" w:pos="9394"/>
            </w:tabs>
            <w:spacing w:after="0" w:line="480" w:lineRule="auto"/>
            <w:jc w:val="both"/>
            <w:rPr>
              <w:noProof/>
              <w:lang w:eastAsia="ja-JP"/>
            </w:rPr>
          </w:pPr>
          <w:r w:rsidRPr="004E3590">
            <w:rPr>
              <w:rFonts w:ascii="Times New Roman" w:hAnsi="Times New Roman" w:cs="Times New Roman"/>
              <w:b/>
              <w:noProof/>
              <w:lang w:val="fr-FR"/>
            </w:rPr>
            <w:t>5. Le nouveau modèle d’accord européen ou comment l’Europe a adapté le modèle américain à ses besoins et intérêts</w:t>
          </w:r>
          <w:r w:rsidRPr="004E3590">
            <w:rPr>
              <w:noProof/>
            </w:rPr>
            <w:tab/>
          </w:r>
          <w:r w:rsidRPr="004E3590">
            <w:rPr>
              <w:noProof/>
            </w:rPr>
            <w:fldChar w:fldCharType="begin"/>
          </w:r>
          <w:r w:rsidRPr="004E3590">
            <w:rPr>
              <w:noProof/>
            </w:rPr>
            <w:instrText xml:space="preserve"> PAGEREF _Toc313471482 \h </w:instrText>
          </w:r>
          <w:r w:rsidRPr="004E3590">
            <w:rPr>
              <w:noProof/>
            </w:rPr>
          </w:r>
          <w:r w:rsidRPr="004E3590">
            <w:rPr>
              <w:noProof/>
            </w:rPr>
            <w:fldChar w:fldCharType="separate"/>
          </w:r>
          <w:r w:rsidRPr="004E3590">
            <w:rPr>
              <w:noProof/>
            </w:rPr>
            <w:t>50</w:t>
          </w:r>
          <w:r w:rsidRPr="004E3590">
            <w:rPr>
              <w:noProof/>
            </w:rPr>
            <w:fldChar w:fldCharType="end"/>
          </w:r>
        </w:p>
        <w:p w14:paraId="6799DC78" w14:textId="77777777" w:rsidR="004E3590" w:rsidRPr="004E3590" w:rsidRDefault="004E3590" w:rsidP="006A5780">
          <w:pPr>
            <w:pStyle w:val="TM1"/>
            <w:tabs>
              <w:tab w:val="right" w:leader="dot" w:pos="9394"/>
            </w:tabs>
            <w:spacing w:after="0" w:line="480" w:lineRule="auto"/>
            <w:jc w:val="both"/>
            <w:rPr>
              <w:noProof/>
              <w:lang w:eastAsia="ja-JP"/>
            </w:rPr>
          </w:pPr>
          <w:r w:rsidRPr="004E3590">
            <w:rPr>
              <w:rFonts w:ascii="Times New Roman" w:hAnsi="Times New Roman" w:cs="Times New Roman"/>
              <w:b/>
              <w:noProof/>
              <w:lang w:val="en-CA"/>
            </w:rPr>
            <w:t>Bibliographie</w:t>
          </w:r>
          <w:r w:rsidRPr="004E3590">
            <w:rPr>
              <w:noProof/>
            </w:rPr>
            <w:tab/>
          </w:r>
          <w:r w:rsidRPr="004E3590">
            <w:rPr>
              <w:noProof/>
            </w:rPr>
            <w:fldChar w:fldCharType="begin"/>
          </w:r>
          <w:r w:rsidRPr="004E3590">
            <w:rPr>
              <w:noProof/>
            </w:rPr>
            <w:instrText xml:space="preserve"> PAGEREF _Toc313471483 \h </w:instrText>
          </w:r>
          <w:r w:rsidRPr="004E3590">
            <w:rPr>
              <w:noProof/>
            </w:rPr>
          </w:r>
          <w:r w:rsidRPr="004E3590">
            <w:rPr>
              <w:noProof/>
            </w:rPr>
            <w:fldChar w:fldCharType="separate"/>
          </w:r>
          <w:r w:rsidRPr="004E3590">
            <w:rPr>
              <w:noProof/>
            </w:rPr>
            <w:t>53</w:t>
          </w:r>
          <w:r w:rsidRPr="004E3590">
            <w:rPr>
              <w:noProof/>
            </w:rPr>
            <w:fldChar w:fldCharType="end"/>
          </w:r>
        </w:p>
        <w:p w14:paraId="25FC1B52" w14:textId="21C4007A" w:rsidR="00D61BE7" w:rsidRDefault="00D61BE7" w:rsidP="006A5780">
          <w:pPr>
            <w:spacing w:line="480" w:lineRule="auto"/>
            <w:jc w:val="both"/>
          </w:pPr>
          <w:r w:rsidRPr="004E3590">
            <w:rPr>
              <w:b/>
              <w:bCs/>
              <w:lang w:val="fr-FR"/>
            </w:rPr>
            <w:fldChar w:fldCharType="end"/>
          </w:r>
        </w:p>
      </w:sdtContent>
    </w:sdt>
    <w:p w14:paraId="34E5DE24" w14:textId="77777777" w:rsidR="00D61BE7" w:rsidRDefault="00D61BE7">
      <w:pPr>
        <w:rPr>
          <w:rFonts w:ascii="Times New Roman" w:hAnsi="Times New Roman" w:cs="Times New Roman"/>
          <w:sz w:val="28"/>
          <w:szCs w:val="20"/>
        </w:rPr>
      </w:pPr>
    </w:p>
    <w:p w14:paraId="7F77E053" w14:textId="77777777" w:rsidR="00D61BE7" w:rsidRDefault="00D61BE7">
      <w:pPr>
        <w:rPr>
          <w:rFonts w:ascii="Times New Roman" w:hAnsi="Times New Roman" w:cs="Times New Roman"/>
          <w:sz w:val="28"/>
          <w:szCs w:val="20"/>
        </w:rPr>
      </w:pPr>
      <w:r>
        <w:rPr>
          <w:rFonts w:ascii="Times New Roman" w:hAnsi="Times New Roman" w:cs="Times New Roman"/>
          <w:sz w:val="28"/>
          <w:szCs w:val="20"/>
        </w:rPr>
        <w:br w:type="page"/>
      </w:r>
    </w:p>
    <w:p w14:paraId="30BDB566" w14:textId="77777777" w:rsidR="00D61BE7" w:rsidRPr="00D61BE7" w:rsidRDefault="00D61BE7" w:rsidP="00D61BE7">
      <w:pPr>
        <w:kinsoku w:val="0"/>
        <w:overflowPunct w:val="0"/>
        <w:autoSpaceDE w:val="0"/>
        <w:autoSpaceDN w:val="0"/>
        <w:adjustRightInd w:val="0"/>
        <w:spacing w:line="200" w:lineRule="atLeast"/>
        <w:jc w:val="center"/>
        <w:rPr>
          <w:rFonts w:ascii="Times New Roman" w:hAnsi="Times New Roman" w:cs="Times New Roman"/>
          <w:sz w:val="28"/>
          <w:szCs w:val="20"/>
        </w:rPr>
        <w:sectPr w:rsidR="00D61BE7" w:rsidRPr="00D61BE7" w:rsidSect="00D61BE7">
          <w:footerReference w:type="even" r:id="rId10"/>
          <w:footerReference w:type="default" r:id="rId11"/>
          <w:pgSz w:w="12240" w:h="15840"/>
          <w:pgMar w:top="1418" w:right="1418" w:bottom="1418" w:left="1418" w:header="709" w:footer="709" w:gutter="0"/>
          <w:pgNumType w:start="1"/>
          <w:cols w:space="708"/>
          <w:titlePg/>
          <w:docGrid w:linePitch="360"/>
        </w:sectPr>
      </w:pPr>
    </w:p>
    <w:p w14:paraId="0F37E49E" w14:textId="24D1E0BF" w:rsidR="00C951A4" w:rsidRPr="006A5780" w:rsidRDefault="001849B7" w:rsidP="006A5780">
      <w:pPr>
        <w:pStyle w:val="Titre1"/>
        <w:spacing w:before="120" w:after="120"/>
        <w:jc w:val="both"/>
        <w:rPr>
          <w:rFonts w:ascii="Times New Roman" w:hAnsi="Times New Roman" w:cs="Times New Roman"/>
          <w:b/>
          <w:color w:val="auto"/>
          <w:sz w:val="28"/>
          <w:szCs w:val="28"/>
        </w:rPr>
      </w:pPr>
      <w:bookmarkStart w:id="0" w:name="_Toc313471452"/>
      <w:r w:rsidRPr="006A5780">
        <w:rPr>
          <w:rFonts w:ascii="Times New Roman" w:hAnsi="Times New Roman" w:cs="Times New Roman"/>
          <w:b/>
          <w:color w:val="auto"/>
          <w:sz w:val="28"/>
          <w:szCs w:val="28"/>
        </w:rPr>
        <w:lastRenderedPageBreak/>
        <w:t xml:space="preserve">1. </w:t>
      </w:r>
      <w:r w:rsidR="00BA43F7" w:rsidRPr="006A5780">
        <w:rPr>
          <w:rFonts w:ascii="Times New Roman" w:hAnsi="Times New Roman" w:cs="Times New Roman"/>
          <w:b/>
          <w:color w:val="auto"/>
          <w:sz w:val="28"/>
          <w:szCs w:val="28"/>
        </w:rPr>
        <w:t>Le Traité de L</w:t>
      </w:r>
      <w:r w:rsidR="003E0DF4" w:rsidRPr="006A5780">
        <w:rPr>
          <w:rFonts w:ascii="Times New Roman" w:hAnsi="Times New Roman" w:cs="Times New Roman"/>
          <w:b/>
          <w:color w:val="auto"/>
          <w:sz w:val="28"/>
          <w:szCs w:val="28"/>
        </w:rPr>
        <w:t>isbonne et l’apparition d’un nouvel acteur du droit international des investissements</w:t>
      </w:r>
      <w:bookmarkEnd w:id="0"/>
    </w:p>
    <w:p w14:paraId="145FF103" w14:textId="73FAE635" w:rsidR="003B546B" w:rsidRDefault="002D2A2F" w:rsidP="00BA43F7">
      <w:pPr>
        <w:spacing w:before="120" w:after="120" w:line="360" w:lineRule="auto"/>
        <w:jc w:val="both"/>
        <w:rPr>
          <w:rFonts w:ascii="Times New Roman" w:hAnsi="Times New Roman" w:cs="Times New Roman"/>
        </w:rPr>
      </w:pPr>
      <w:r>
        <w:rPr>
          <w:rFonts w:ascii="Times New Roman" w:hAnsi="Times New Roman" w:cs="Times New Roman"/>
        </w:rPr>
        <w:t>D</w:t>
      </w:r>
      <w:r w:rsidR="009121D8">
        <w:rPr>
          <w:rFonts w:ascii="Times New Roman" w:hAnsi="Times New Roman" w:cs="Times New Roman"/>
        </w:rPr>
        <w:t xml:space="preserve">epuis </w:t>
      </w:r>
      <w:r w:rsidR="00F36317">
        <w:rPr>
          <w:rFonts w:ascii="Times New Roman" w:hAnsi="Times New Roman" w:cs="Times New Roman"/>
        </w:rPr>
        <w:t>la signature du premier traité bilatéral d’investissement en 1959</w:t>
      </w:r>
      <w:r>
        <w:rPr>
          <w:rFonts w:ascii="Times New Roman" w:hAnsi="Times New Roman" w:cs="Times New Roman"/>
        </w:rPr>
        <w:t xml:space="preserve">, le paysage institutionnel et juridique relatif au droit international des investissements </w:t>
      </w:r>
      <w:proofErr w:type="gramStart"/>
      <w:r>
        <w:rPr>
          <w:rFonts w:ascii="Times New Roman" w:hAnsi="Times New Roman" w:cs="Times New Roman"/>
        </w:rPr>
        <w:t>s’est</w:t>
      </w:r>
      <w:proofErr w:type="gramEnd"/>
      <w:r>
        <w:rPr>
          <w:rFonts w:ascii="Times New Roman" w:hAnsi="Times New Roman" w:cs="Times New Roman"/>
        </w:rPr>
        <w:t xml:space="preserve"> </w:t>
      </w:r>
      <w:r w:rsidR="00DB587A">
        <w:rPr>
          <w:rFonts w:ascii="Times New Roman" w:hAnsi="Times New Roman" w:cs="Times New Roman"/>
        </w:rPr>
        <w:t xml:space="preserve">considérablement </w:t>
      </w:r>
      <w:r>
        <w:rPr>
          <w:rFonts w:ascii="Times New Roman" w:hAnsi="Times New Roman" w:cs="Times New Roman"/>
        </w:rPr>
        <w:t>transformé</w:t>
      </w:r>
      <w:r w:rsidR="00F36317">
        <w:rPr>
          <w:rFonts w:ascii="Times New Roman" w:hAnsi="Times New Roman" w:cs="Times New Roman"/>
        </w:rPr>
        <w:t>.</w:t>
      </w:r>
      <w:r w:rsidR="00F51F7F">
        <w:rPr>
          <w:rFonts w:ascii="Times New Roman" w:hAnsi="Times New Roman" w:cs="Times New Roman"/>
        </w:rPr>
        <w:t xml:space="preserve"> À l’époque, l</w:t>
      </w:r>
      <w:r w:rsidR="00F36317">
        <w:rPr>
          <w:rFonts w:ascii="Times New Roman" w:hAnsi="Times New Roman" w:cs="Times New Roman"/>
        </w:rPr>
        <w:t>’Allemagne</w:t>
      </w:r>
      <w:r w:rsidR="00F51F7F">
        <w:rPr>
          <w:rFonts w:ascii="Times New Roman" w:hAnsi="Times New Roman" w:cs="Times New Roman"/>
        </w:rPr>
        <w:t xml:space="preserve"> et le Pakistan rompaient avec la pratique des traités d’amitié, de commerce et de navigation</w:t>
      </w:r>
      <w:r w:rsidR="00E42FED">
        <w:rPr>
          <w:rFonts w:ascii="Times New Roman" w:hAnsi="Times New Roman" w:cs="Times New Roman"/>
        </w:rPr>
        <w:t xml:space="preserve"> (</w:t>
      </w:r>
      <w:r w:rsidR="009817EA">
        <w:rPr>
          <w:rFonts w:ascii="Times New Roman" w:hAnsi="Times New Roman" w:cs="Times New Roman"/>
        </w:rPr>
        <w:t xml:space="preserve">souvent appelés </w:t>
      </w:r>
      <w:r w:rsidR="00E42FED">
        <w:rPr>
          <w:rFonts w:ascii="Times New Roman" w:hAnsi="Times New Roman" w:cs="Times New Roman"/>
        </w:rPr>
        <w:t>FCN </w:t>
      </w:r>
      <w:r w:rsidR="009817EA">
        <w:rPr>
          <w:rFonts w:ascii="Times New Roman" w:hAnsi="Times New Roman" w:cs="Times New Roman"/>
        </w:rPr>
        <w:t>selon l’</w:t>
      </w:r>
      <w:r w:rsidR="00E42FED">
        <w:rPr>
          <w:rFonts w:ascii="Times New Roman" w:hAnsi="Times New Roman" w:cs="Times New Roman"/>
        </w:rPr>
        <w:t>acronyme anglais)</w:t>
      </w:r>
      <w:r w:rsidR="00F51F7F">
        <w:rPr>
          <w:rFonts w:ascii="Times New Roman" w:hAnsi="Times New Roman" w:cs="Times New Roman"/>
        </w:rPr>
        <w:t xml:space="preserve"> puisque les investissements n’étaient plus </w:t>
      </w:r>
      <w:r w:rsidR="00DB587A">
        <w:rPr>
          <w:rFonts w:ascii="Times New Roman" w:hAnsi="Times New Roman" w:cs="Times New Roman"/>
        </w:rPr>
        <w:t>considérés</w:t>
      </w:r>
      <w:r w:rsidR="008127E1">
        <w:rPr>
          <w:rFonts w:ascii="Times New Roman" w:hAnsi="Times New Roman" w:cs="Times New Roman"/>
        </w:rPr>
        <w:t xml:space="preserve"> comme</w:t>
      </w:r>
      <w:r w:rsidR="00F51F7F">
        <w:rPr>
          <w:rFonts w:ascii="Times New Roman" w:hAnsi="Times New Roman" w:cs="Times New Roman"/>
        </w:rPr>
        <w:t xml:space="preserve"> un élément parmi tant d’autres au sein d’un accord économique général, mais bien comme un </w:t>
      </w:r>
      <w:r w:rsidR="00580B62">
        <w:rPr>
          <w:rFonts w:ascii="Times New Roman" w:hAnsi="Times New Roman" w:cs="Times New Roman"/>
        </w:rPr>
        <w:t xml:space="preserve">objet </w:t>
      </w:r>
      <w:r w:rsidR="00F51F7F">
        <w:rPr>
          <w:rFonts w:ascii="Times New Roman" w:hAnsi="Times New Roman" w:cs="Times New Roman"/>
        </w:rPr>
        <w:t>du droit international à part entière</w:t>
      </w:r>
      <w:r w:rsidR="007B50EE">
        <w:rPr>
          <w:rFonts w:ascii="Times New Roman" w:hAnsi="Times New Roman" w:cs="Times New Roman"/>
        </w:rPr>
        <w:t xml:space="preserve"> (</w:t>
      </w:r>
      <w:proofErr w:type="spellStart"/>
      <w:r w:rsidR="007B50EE">
        <w:rPr>
          <w:rFonts w:ascii="Times New Roman" w:hAnsi="Times New Roman" w:cs="Times New Roman"/>
        </w:rPr>
        <w:t>Newcombe</w:t>
      </w:r>
      <w:proofErr w:type="spellEnd"/>
      <w:r w:rsidR="00C35D4E">
        <w:rPr>
          <w:rFonts w:ascii="Times New Roman" w:hAnsi="Times New Roman" w:cs="Times New Roman"/>
        </w:rPr>
        <w:t xml:space="preserve"> 2013 : </w:t>
      </w:r>
      <w:r w:rsidR="00D60542">
        <w:rPr>
          <w:rFonts w:ascii="Times New Roman" w:hAnsi="Times New Roman" w:cs="Times New Roman"/>
        </w:rPr>
        <w:t>16</w:t>
      </w:r>
      <w:r w:rsidR="007B50EE">
        <w:rPr>
          <w:rFonts w:ascii="Times New Roman" w:hAnsi="Times New Roman" w:cs="Times New Roman"/>
        </w:rPr>
        <w:t xml:space="preserve">; </w:t>
      </w:r>
      <w:proofErr w:type="spellStart"/>
      <w:r w:rsidR="007B50EE">
        <w:rPr>
          <w:rFonts w:ascii="Times New Roman" w:hAnsi="Times New Roman" w:cs="Times New Roman"/>
        </w:rPr>
        <w:t>Schill</w:t>
      </w:r>
      <w:proofErr w:type="spellEnd"/>
      <w:r w:rsidR="00CF56AD">
        <w:rPr>
          <w:rFonts w:ascii="Times New Roman" w:hAnsi="Times New Roman" w:cs="Times New Roman"/>
        </w:rPr>
        <w:t xml:space="preserve"> 2009 : </w:t>
      </w:r>
      <w:r w:rsidR="00B067F7">
        <w:rPr>
          <w:rFonts w:ascii="Times New Roman" w:hAnsi="Times New Roman" w:cs="Times New Roman"/>
        </w:rPr>
        <w:t>29</w:t>
      </w:r>
      <w:r w:rsidR="00D60542">
        <w:rPr>
          <w:rFonts w:ascii="Times New Roman" w:hAnsi="Times New Roman" w:cs="Times New Roman"/>
        </w:rPr>
        <w:t>)</w:t>
      </w:r>
      <w:r w:rsidR="00F51F7F">
        <w:rPr>
          <w:rFonts w:ascii="Times New Roman" w:hAnsi="Times New Roman" w:cs="Times New Roman"/>
        </w:rPr>
        <w:t>. Loin d’être complètement inopiné, ce traité poursuivait l’évolution des précédentes années où la question</w:t>
      </w:r>
      <w:r w:rsidR="007A0EE9">
        <w:rPr>
          <w:rFonts w:ascii="Times New Roman" w:hAnsi="Times New Roman" w:cs="Times New Roman"/>
        </w:rPr>
        <w:t xml:space="preserve"> des investissements ne cessait de prendre une place plus importante au sein des traités d’amitié, de commerce et de navigation</w:t>
      </w:r>
      <w:r w:rsidR="00CF56AD">
        <w:rPr>
          <w:rFonts w:ascii="Times New Roman" w:hAnsi="Times New Roman" w:cs="Times New Roman"/>
        </w:rPr>
        <w:t xml:space="preserve"> (</w:t>
      </w:r>
      <w:proofErr w:type="spellStart"/>
      <w:r w:rsidR="007B50EE">
        <w:rPr>
          <w:rFonts w:ascii="Times New Roman" w:hAnsi="Times New Roman" w:cs="Times New Roman"/>
        </w:rPr>
        <w:t>Alchsner</w:t>
      </w:r>
      <w:proofErr w:type="spellEnd"/>
      <w:r w:rsidR="00E42FED">
        <w:rPr>
          <w:rFonts w:ascii="Times New Roman" w:hAnsi="Times New Roman" w:cs="Times New Roman"/>
        </w:rPr>
        <w:t xml:space="preserve"> 2013 : 461-462; </w:t>
      </w:r>
      <w:proofErr w:type="spellStart"/>
      <w:r w:rsidR="007B50EE">
        <w:rPr>
          <w:rFonts w:ascii="Times New Roman" w:hAnsi="Times New Roman" w:cs="Times New Roman"/>
        </w:rPr>
        <w:t>Coyle</w:t>
      </w:r>
      <w:proofErr w:type="spellEnd"/>
      <w:r w:rsidR="007B50EE">
        <w:rPr>
          <w:rFonts w:ascii="Times New Roman" w:hAnsi="Times New Roman" w:cs="Times New Roman"/>
        </w:rPr>
        <w:t xml:space="preserve"> </w:t>
      </w:r>
      <w:r w:rsidR="00CF56AD">
        <w:rPr>
          <w:rFonts w:ascii="Times New Roman" w:hAnsi="Times New Roman" w:cs="Times New Roman"/>
        </w:rPr>
        <w:t xml:space="preserve">2013 : </w:t>
      </w:r>
      <w:r w:rsidR="00D60542">
        <w:rPr>
          <w:rFonts w:ascii="Times New Roman" w:hAnsi="Times New Roman" w:cs="Times New Roman"/>
        </w:rPr>
        <w:t>307-308)</w:t>
      </w:r>
      <w:r w:rsidR="007A0EE9">
        <w:rPr>
          <w:rFonts w:ascii="Times New Roman" w:hAnsi="Times New Roman" w:cs="Times New Roman"/>
        </w:rPr>
        <w:t xml:space="preserve">. </w:t>
      </w:r>
    </w:p>
    <w:p w14:paraId="6E4A42A9" w14:textId="7106F2FC" w:rsidR="00C951A4" w:rsidRDefault="007A0EE9" w:rsidP="00BA43F7">
      <w:pPr>
        <w:spacing w:before="120" w:after="120" w:line="360" w:lineRule="auto"/>
        <w:jc w:val="both"/>
        <w:rPr>
          <w:rFonts w:ascii="Times New Roman" w:hAnsi="Times New Roman" w:cs="Times New Roman"/>
        </w:rPr>
      </w:pPr>
      <w:r>
        <w:rPr>
          <w:rFonts w:ascii="Times New Roman" w:hAnsi="Times New Roman" w:cs="Times New Roman"/>
        </w:rPr>
        <w:t>C’est toutefois une décennie plus tard que</w:t>
      </w:r>
      <w:r w:rsidR="002D2A2F">
        <w:rPr>
          <w:rFonts w:ascii="Times New Roman" w:hAnsi="Times New Roman" w:cs="Times New Roman"/>
        </w:rPr>
        <w:t xml:space="preserve"> le plus important changement s’est produi</w:t>
      </w:r>
      <w:r>
        <w:rPr>
          <w:rFonts w:ascii="Times New Roman" w:hAnsi="Times New Roman" w:cs="Times New Roman"/>
        </w:rPr>
        <w:t>t avec l’inclusion de la première clause permettant l’arbitrage investisseur – État au sein du traité bilatéral d’investissement entre l’Italie et le Tchad</w:t>
      </w:r>
      <w:r w:rsidR="007B50EE">
        <w:rPr>
          <w:rFonts w:ascii="Times New Roman" w:hAnsi="Times New Roman" w:cs="Times New Roman"/>
        </w:rPr>
        <w:t xml:space="preserve"> (</w:t>
      </w:r>
      <w:proofErr w:type="spellStart"/>
      <w:r w:rsidR="007B50EE">
        <w:rPr>
          <w:rFonts w:ascii="Times New Roman" w:hAnsi="Times New Roman" w:cs="Times New Roman"/>
        </w:rPr>
        <w:t>Newcombe</w:t>
      </w:r>
      <w:proofErr w:type="spellEnd"/>
      <w:r w:rsidR="00C35D4E">
        <w:rPr>
          <w:rFonts w:ascii="Times New Roman" w:hAnsi="Times New Roman" w:cs="Times New Roman"/>
        </w:rPr>
        <w:t xml:space="preserve"> 2013 : </w:t>
      </w:r>
      <w:r w:rsidR="00D60542">
        <w:rPr>
          <w:rFonts w:ascii="Times New Roman" w:hAnsi="Times New Roman" w:cs="Times New Roman"/>
        </w:rPr>
        <w:t>17)</w:t>
      </w:r>
      <w:r w:rsidR="008A1BBE">
        <w:rPr>
          <w:rFonts w:ascii="Times New Roman" w:hAnsi="Times New Roman" w:cs="Times New Roman"/>
        </w:rPr>
        <w:t xml:space="preserve">. </w:t>
      </w:r>
      <w:r w:rsidR="00E42FED">
        <w:rPr>
          <w:rFonts w:ascii="Times New Roman" w:hAnsi="Times New Roman" w:cs="Times New Roman"/>
        </w:rPr>
        <w:t>Alors que les précédents traités bilatéraux d’investissement comportaient plusieurs normes simil</w:t>
      </w:r>
      <w:r w:rsidR="007B50EE">
        <w:rPr>
          <w:rFonts w:ascii="Times New Roman" w:hAnsi="Times New Roman" w:cs="Times New Roman"/>
        </w:rPr>
        <w:t>aires aux traités FCN (</w:t>
      </w:r>
      <w:proofErr w:type="spellStart"/>
      <w:r w:rsidR="007B50EE">
        <w:rPr>
          <w:rFonts w:ascii="Times New Roman" w:hAnsi="Times New Roman" w:cs="Times New Roman"/>
        </w:rPr>
        <w:t>Alschner</w:t>
      </w:r>
      <w:proofErr w:type="spellEnd"/>
      <w:r w:rsidR="00E42FED">
        <w:rPr>
          <w:rFonts w:ascii="Times New Roman" w:hAnsi="Times New Roman" w:cs="Times New Roman"/>
        </w:rPr>
        <w:t xml:space="preserve"> 20</w:t>
      </w:r>
      <w:r w:rsidR="00DB587A">
        <w:rPr>
          <w:rFonts w:ascii="Times New Roman" w:hAnsi="Times New Roman" w:cs="Times New Roman"/>
        </w:rPr>
        <w:t xml:space="preserve">13 : 463), l’inclusion de cette </w:t>
      </w:r>
      <w:r w:rsidR="00E42FED">
        <w:rPr>
          <w:rFonts w:ascii="Times New Roman" w:hAnsi="Times New Roman" w:cs="Times New Roman"/>
        </w:rPr>
        <w:t xml:space="preserve">clause marquait le début d’une nouvelle ère en matière de droit international des investissements. </w:t>
      </w:r>
      <w:r w:rsidR="008A1BBE">
        <w:rPr>
          <w:rFonts w:ascii="Times New Roman" w:hAnsi="Times New Roman" w:cs="Times New Roman"/>
        </w:rPr>
        <w:t xml:space="preserve">Depuis, </w:t>
      </w:r>
      <w:r>
        <w:rPr>
          <w:rFonts w:ascii="Times New Roman" w:hAnsi="Times New Roman" w:cs="Times New Roman"/>
        </w:rPr>
        <w:t>le nombre de traités bilatéraux d’investissement ou de chapitres sur l’investissement au sein d’accord</w:t>
      </w:r>
      <w:r w:rsidR="00DB587A">
        <w:rPr>
          <w:rFonts w:ascii="Times New Roman" w:hAnsi="Times New Roman" w:cs="Times New Roman"/>
        </w:rPr>
        <w:t>s</w:t>
      </w:r>
      <w:r>
        <w:rPr>
          <w:rFonts w:ascii="Times New Roman" w:hAnsi="Times New Roman" w:cs="Times New Roman"/>
        </w:rPr>
        <w:t xml:space="preserve"> de libre-éch</w:t>
      </w:r>
      <w:r w:rsidR="008A1BBE">
        <w:rPr>
          <w:rFonts w:ascii="Times New Roman" w:hAnsi="Times New Roman" w:cs="Times New Roman"/>
        </w:rPr>
        <w:t>ange a littéralement explosé</w:t>
      </w:r>
      <w:r w:rsidR="00DB587A">
        <w:rPr>
          <w:rFonts w:ascii="Times New Roman" w:hAnsi="Times New Roman" w:cs="Times New Roman"/>
        </w:rPr>
        <w:t xml:space="preserve"> : il </w:t>
      </w:r>
      <w:r w:rsidR="008A1BBE">
        <w:rPr>
          <w:rFonts w:ascii="Times New Roman" w:hAnsi="Times New Roman" w:cs="Times New Roman"/>
        </w:rPr>
        <w:t xml:space="preserve">en </w:t>
      </w:r>
      <w:r>
        <w:rPr>
          <w:rFonts w:ascii="Times New Roman" w:hAnsi="Times New Roman" w:cs="Times New Roman"/>
        </w:rPr>
        <w:t>existe actuellement plus de 3 000</w:t>
      </w:r>
      <w:r w:rsidR="00D60542">
        <w:rPr>
          <w:rFonts w:ascii="Times New Roman" w:hAnsi="Times New Roman" w:cs="Times New Roman"/>
        </w:rPr>
        <w:t xml:space="preserve"> (L</w:t>
      </w:r>
      <w:r w:rsidR="007B50EE">
        <w:rPr>
          <w:rFonts w:ascii="Times New Roman" w:hAnsi="Times New Roman" w:cs="Times New Roman"/>
        </w:rPr>
        <w:t>évesque et</w:t>
      </w:r>
      <w:r w:rsidR="00FD53EA">
        <w:rPr>
          <w:rFonts w:ascii="Times New Roman" w:hAnsi="Times New Roman" w:cs="Times New Roman"/>
        </w:rPr>
        <w:t xml:space="preserve"> De </w:t>
      </w:r>
      <w:proofErr w:type="spellStart"/>
      <w:r w:rsidR="00FD53EA">
        <w:rPr>
          <w:rFonts w:ascii="Times New Roman" w:hAnsi="Times New Roman" w:cs="Times New Roman"/>
        </w:rPr>
        <w:t>Mestral</w:t>
      </w:r>
      <w:proofErr w:type="spellEnd"/>
      <w:r w:rsidR="00FD53EA">
        <w:rPr>
          <w:rFonts w:ascii="Times New Roman" w:hAnsi="Times New Roman" w:cs="Times New Roman"/>
        </w:rPr>
        <w:t xml:space="preserve"> </w:t>
      </w:r>
      <w:r w:rsidR="00C35D4E">
        <w:rPr>
          <w:rFonts w:ascii="Times New Roman" w:hAnsi="Times New Roman" w:cs="Times New Roman"/>
        </w:rPr>
        <w:t xml:space="preserve">2013 : </w:t>
      </w:r>
      <w:r w:rsidR="00D60542">
        <w:rPr>
          <w:rFonts w:ascii="Times New Roman" w:hAnsi="Times New Roman" w:cs="Times New Roman"/>
        </w:rPr>
        <w:t>1)</w:t>
      </w:r>
      <w:r>
        <w:rPr>
          <w:rFonts w:ascii="Times New Roman" w:hAnsi="Times New Roman" w:cs="Times New Roman"/>
        </w:rPr>
        <w:t>.</w:t>
      </w:r>
      <w:r w:rsidR="002D2A2F">
        <w:rPr>
          <w:rFonts w:ascii="Times New Roman" w:hAnsi="Times New Roman" w:cs="Times New Roman"/>
        </w:rPr>
        <w:t xml:space="preserve"> De plus, alors que ces traités étaient</w:t>
      </w:r>
      <w:r w:rsidR="008A1BBE">
        <w:rPr>
          <w:rFonts w:ascii="Times New Roman" w:hAnsi="Times New Roman" w:cs="Times New Roman"/>
        </w:rPr>
        <w:t xml:space="preserve"> traditionnellement signés entre </w:t>
      </w:r>
      <w:r w:rsidR="00DB587A">
        <w:rPr>
          <w:rFonts w:ascii="Times New Roman" w:hAnsi="Times New Roman" w:cs="Times New Roman"/>
        </w:rPr>
        <w:t>un pays développé</w:t>
      </w:r>
      <w:r w:rsidR="002D2A2F">
        <w:rPr>
          <w:rFonts w:ascii="Times New Roman" w:hAnsi="Times New Roman" w:cs="Times New Roman"/>
        </w:rPr>
        <w:t xml:space="preserve"> et un</w:t>
      </w:r>
      <w:r w:rsidR="00FD7675">
        <w:rPr>
          <w:rFonts w:ascii="Times New Roman" w:hAnsi="Times New Roman" w:cs="Times New Roman"/>
        </w:rPr>
        <w:t xml:space="preserve"> pays en voie de développement, cette </w:t>
      </w:r>
      <w:r w:rsidR="00400766">
        <w:rPr>
          <w:rFonts w:ascii="Times New Roman" w:hAnsi="Times New Roman" w:cs="Times New Roman"/>
        </w:rPr>
        <w:t>tendance</w:t>
      </w:r>
      <w:r w:rsidR="00FD7675">
        <w:rPr>
          <w:rFonts w:ascii="Times New Roman" w:hAnsi="Times New Roman" w:cs="Times New Roman"/>
        </w:rPr>
        <w:t xml:space="preserve"> tend à s’estomper</w:t>
      </w:r>
      <w:r w:rsidR="00DB587A">
        <w:rPr>
          <w:rFonts w:ascii="Times New Roman" w:hAnsi="Times New Roman" w:cs="Times New Roman"/>
        </w:rPr>
        <w:t>.</w:t>
      </w:r>
      <w:r w:rsidR="00FD7675">
        <w:rPr>
          <w:rFonts w:ascii="Times New Roman" w:hAnsi="Times New Roman" w:cs="Times New Roman"/>
        </w:rPr>
        <w:t xml:space="preserve"> </w:t>
      </w:r>
      <w:r w:rsidR="00DB587A">
        <w:rPr>
          <w:rFonts w:ascii="Times New Roman" w:hAnsi="Times New Roman" w:cs="Times New Roman"/>
        </w:rPr>
        <w:t>D</w:t>
      </w:r>
      <w:r w:rsidR="002D2A2F">
        <w:rPr>
          <w:rFonts w:ascii="Times New Roman" w:hAnsi="Times New Roman" w:cs="Times New Roman"/>
        </w:rPr>
        <w:t>e</w:t>
      </w:r>
      <w:r w:rsidR="00FF7282">
        <w:rPr>
          <w:rFonts w:ascii="Times New Roman" w:hAnsi="Times New Roman" w:cs="Times New Roman"/>
        </w:rPr>
        <w:t>s</w:t>
      </w:r>
      <w:r w:rsidR="00DB587A">
        <w:rPr>
          <w:rFonts w:ascii="Times New Roman" w:hAnsi="Times New Roman" w:cs="Times New Roman"/>
        </w:rPr>
        <w:t xml:space="preserve"> traités </w:t>
      </w:r>
      <w:r w:rsidR="00FF7282">
        <w:rPr>
          <w:rFonts w:ascii="Times New Roman" w:hAnsi="Times New Roman" w:cs="Times New Roman"/>
        </w:rPr>
        <w:t xml:space="preserve">bilatéraux d’investissement </w:t>
      </w:r>
      <w:r w:rsidR="002D2A2F">
        <w:rPr>
          <w:rFonts w:ascii="Times New Roman" w:hAnsi="Times New Roman" w:cs="Times New Roman"/>
        </w:rPr>
        <w:t>sont</w:t>
      </w:r>
      <w:r w:rsidR="00FF7282">
        <w:rPr>
          <w:rFonts w:ascii="Times New Roman" w:hAnsi="Times New Roman" w:cs="Times New Roman"/>
        </w:rPr>
        <w:t xml:space="preserve"> en effet maintenant</w:t>
      </w:r>
      <w:r w:rsidR="002D2A2F">
        <w:rPr>
          <w:rFonts w:ascii="Times New Roman" w:hAnsi="Times New Roman" w:cs="Times New Roman"/>
        </w:rPr>
        <w:t xml:space="preserve"> signés </w:t>
      </w:r>
      <w:r w:rsidR="00F06E74">
        <w:rPr>
          <w:rFonts w:ascii="Times New Roman" w:hAnsi="Times New Roman" w:cs="Times New Roman"/>
        </w:rPr>
        <w:t xml:space="preserve">entre </w:t>
      </w:r>
      <w:r w:rsidR="00FD7675">
        <w:rPr>
          <w:rFonts w:ascii="Times New Roman" w:hAnsi="Times New Roman" w:cs="Times New Roman"/>
        </w:rPr>
        <w:t>pays développés ou en</w:t>
      </w:r>
      <w:r w:rsidR="00DB587A">
        <w:rPr>
          <w:rFonts w:ascii="Times New Roman" w:hAnsi="Times New Roman" w:cs="Times New Roman"/>
        </w:rPr>
        <w:t>tre</w:t>
      </w:r>
      <w:r w:rsidR="00F06E74">
        <w:rPr>
          <w:rFonts w:ascii="Times New Roman" w:hAnsi="Times New Roman" w:cs="Times New Roman"/>
        </w:rPr>
        <w:t xml:space="preserve"> pays en voie</w:t>
      </w:r>
      <w:r w:rsidR="00FD7675">
        <w:rPr>
          <w:rFonts w:ascii="Times New Roman" w:hAnsi="Times New Roman" w:cs="Times New Roman"/>
        </w:rPr>
        <w:t xml:space="preserve"> développement</w:t>
      </w:r>
      <w:r w:rsidR="00D60542">
        <w:rPr>
          <w:rFonts w:ascii="Times New Roman" w:hAnsi="Times New Roman" w:cs="Times New Roman"/>
        </w:rPr>
        <w:t xml:space="preserve"> (Wout</w:t>
      </w:r>
      <w:r w:rsidR="007B50EE">
        <w:rPr>
          <w:rFonts w:ascii="Times New Roman" w:hAnsi="Times New Roman" w:cs="Times New Roman"/>
        </w:rPr>
        <w:t xml:space="preserve">ers </w:t>
      </w:r>
      <w:r w:rsidR="007B50EE">
        <w:rPr>
          <w:rFonts w:ascii="Times New Roman" w:hAnsi="Times New Roman" w:cs="Times New Roman"/>
          <w:i/>
        </w:rPr>
        <w:t>et al.</w:t>
      </w:r>
      <w:r w:rsidR="00C35D4E">
        <w:rPr>
          <w:rFonts w:ascii="Times New Roman" w:hAnsi="Times New Roman" w:cs="Times New Roman"/>
        </w:rPr>
        <w:t xml:space="preserve"> 2013 : </w:t>
      </w:r>
      <w:r w:rsidR="00D60542">
        <w:rPr>
          <w:rFonts w:ascii="Times New Roman" w:hAnsi="Times New Roman" w:cs="Times New Roman"/>
        </w:rPr>
        <w:t>35)</w:t>
      </w:r>
      <w:r w:rsidR="00F06E74">
        <w:rPr>
          <w:rFonts w:ascii="Times New Roman" w:hAnsi="Times New Roman" w:cs="Times New Roman"/>
        </w:rPr>
        <w:t>.</w:t>
      </w:r>
    </w:p>
    <w:p w14:paraId="3ADC40DC" w14:textId="2957B76D" w:rsidR="00CA458E" w:rsidRDefault="00FF7282" w:rsidP="00BA43F7">
      <w:pPr>
        <w:spacing w:before="120" w:after="120" w:line="360" w:lineRule="auto"/>
        <w:jc w:val="both"/>
        <w:rPr>
          <w:rFonts w:ascii="Times New Roman" w:hAnsi="Times New Roman" w:cs="Times New Roman"/>
        </w:rPr>
      </w:pPr>
      <w:r>
        <w:rPr>
          <w:rFonts w:ascii="Times New Roman" w:hAnsi="Times New Roman" w:cs="Times New Roman"/>
        </w:rPr>
        <w:t>Parallèlement</w:t>
      </w:r>
      <w:r w:rsidR="00F06E74">
        <w:rPr>
          <w:rFonts w:ascii="Times New Roman" w:hAnsi="Times New Roman" w:cs="Times New Roman"/>
        </w:rPr>
        <w:t xml:space="preserve">, </w:t>
      </w:r>
      <w:r w:rsidR="00A80C1E">
        <w:rPr>
          <w:rFonts w:ascii="Times New Roman" w:hAnsi="Times New Roman" w:cs="Times New Roman"/>
        </w:rPr>
        <w:t xml:space="preserve">le nombre </w:t>
      </w:r>
      <w:r w:rsidR="00F06E74">
        <w:rPr>
          <w:rFonts w:ascii="Times New Roman" w:hAnsi="Times New Roman" w:cs="Times New Roman"/>
        </w:rPr>
        <w:t xml:space="preserve">d’acteurs impliqués dans cette branche du droit international s’est également multiplié. En plus des États, acteurs traditionnels du système international, plusieurs organisations internationales et organismes non-gouvernementaux se </w:t>
      </w:r>
      <w:r w:rsidR="002D2A2F">
        <w:rPr>
          <w:rFonts w:ascii="Times New Roman" w:hAnsi="Times New Roman" w:cs="Times New Roman"/>
        </w:rPr>
        <w:t>sont créés ou</w:t>
      </w:r>
      <w:r>
        <w:rPr>
          <w:rFonts w:ascii="Times New Roman" w:hAnsi="Times New Roman" w:cs="Times New Roman"/>
        </w:rPr>
        <w:t xml:space="preserve"> ont développé</w:t>
      </w:r>
      <w:r w:rsidR="002D2A2F">
        <w:rPr>
          <w:rFonts w:ascii="Times New Roman" w:hAnsi="Times New Roman" w:cs="Times New Roman"/>
        </w:rPr>
        <w:t xml:space="preserve"> des</w:t>
      </w:r>
      <w:r w:rsidR="00F06E74">
        <w:rPr>
          <w:rFonts w:ascii="Times New Roman" w:hAnsi="Times New Roman" w:cs="Times New Roman"/>
        </w:rPr>
        <w:t xml:space="preserve"> stratégie</w:t>
      </w:r>
      <w:r w:rsidR="002D2A2F">
        <w:rPr>
          <w:rFonts w:ascii="Times New Roman" w:hAnsi="Times New Roman" w:cs="Times New Roman"/>
        </w:rPr>
        <w:t xml:space="preserve">s et des politiques pour </w:t>
      </w:r>
      <w:r>
        <w:rPr>
          <w:rFonts w:ascii="Times New Roman" w:hAnsi="Times New Roman" w:cs="Times New Roman"/>
        </w:rPr>
        <w:t>prendre en compte</w:t>
      </w:r>
      <w:r w:rsidR="00F06E74">
        <w:rPr>
          <w:rFonts w:ascii="Times New Roman" w:hAnsi="Times New Roman" w:cs="Times New Roman"/>
        </w:rPr>
        <w:t xml:space="preserve"> l’évolution du droit des investissements étrangers. </w:t>
      </w:r>
      <w:r w:rsidR="002D2A2F">
        <w:rPr>
          <w:rFonts w:ascii="Times New Roman" w:hAnsi="Times New Roman" w:cs="Times New Roman"/>
        </w:rPr>
        <w:t>Ainsi, d</w:t>
      </w:r>
      <w:r w:rsidR="008127E1">
        <w:rPr>
          <w:rFonts w:ascii="Times New Roman" w:hAnsi="Times New Roman" w:cs="Times New Roman"/>
        </w:rPr>
        <w:t xml:space="preserve">epuis la fin du cycle d’Uruguay, l’Organisation mondiale du commerce (OMC) règlemente l’interface entre l’investissement et le commerce. </w:t>
      </w:r>
      <w:r w:rsidR="008127E1" w:rsidRPr="002D2A2F">
        <w:rPr>
          <w:rFonts w:ascii="Times New Roman" w:hAnsi="Times New Roman" w:cs="Times New Roman"/>
        </w:rPr>
        <w:t xml:space="preserve">L’Organisation de coopération et de développement économique (OCDE), le Centre international pour le règlement des différends </w:t>
      </w:r>
      <w:r w:rsidR="008127E1" w:rsidRPr="002D2A2F">
        <w:rPr>
          <w:rFonts w:ascii="Times New Roman" w:hAnsi="Times New Roman" w:cs="Times New Roman"/>
        </w:rPr>
        <w:lastRenderedPageBreak/>
        <w:t xml:space="preserve">relatifs à l’investissement (CIRDI), l’International Institute for </w:t>
      </w:r>
      <w:proofErr w:type="spellStart"/>
      <w:r w:rsidR="008127E1" w:rsidRPr="002D2A2F">
        <w:rPr>
          <w:rFonts w:ascii="Times New Roman" w:hAnsi="Times New Roman" w:cs="Times New Roman"/>
        </w:rPr>
        <w:t>Sustainable</w:t>
      </w:r>
      <w:proofErr w:type="spellEnd"/>
      <w:r w:rsidR="008127E1" w:rsidRPr="002D2A2F">
        <w:rPr>
          <w:rFonts w:ascii="Times New Roman" w:hAnsi="Times New Roman" w:cs="Times New Roman"/>
        </w:rPr>
        <w:t xml:space="preserve"> </w:t>
      </w:r>
      <w:proofErr w:type="spellStart"/>
      <w:r w:rsidR="008127E1" w:rsidRPr="002D2A2F">
        <w:rPr>
          <w:rFonts w:ascii="Times New Roman" w:hAnsi="Times New Roman" w:cs="Times New Roman"/>
        </w:rPr>
        <w:t>Development</w:t>
      </w:r>
      <w:proofErr w:type="spellEnd"/>
      <w:r w:rsidR="008127E1" w:rsidRPr="002D2A2F">
        <w:rPr>
          <w:rFonts w:ascii="Times New Roman" w:hAnsi="Times New Roman" w:cs="Times New Roman"/>
        </w:rPr>
        <w:t xml:space="preserve"> </w:t>
      </w:r>
      <w:r w:rsidR="002D2A2F" w:rsidRPr="002D2A2F">
        <w:rPr>
          <w:rFonts w:ascii="Times New Roman" w:hAnsi="Times New Roman" w:cs="Times New Roman"/>
        </w:rPr>
        <w:t>(IISD) et</w:t>
      </w:r>
      <w:r w:rsidR="008127E1" w:rsidRPr="002D2A2F">
        <w:rPr>
          <w:rFonts w:ascii="Times New Roman" w:hAnsi="Times New Roman" w:cs="Times New Roman"/>
        </w:rPr>
        <w:t xml:space="preserve"> l’</w:t>
      </w:r>
      <w:proofErr w:type="spellStart"/>
      <w:r w:rsidR="008127E1" w:rsidRPr="002D2A2F">
        <w:rPr>
          <w:rFonts w:ascii="Times New Roman" w:hAnsi="Times New Roman" w:cs="Times New Roman"/>
        </w:rPr>
        <w:t>Asian-African</w:t>
      </w:r>
      <w:proofErr w:type="spellEnd"/>
      <w:r w:rsidR="008127E1" w:rsidRPr="002D2A2F">
        <w:rPr>
          <w:rFonts w:ascii="Times New Roman" w:hAnsi="Times New Roman" w:cs="Times New Roman"/>
        </w:rPr>
        <w:t xml:space="preserve"> </w:t>
      </w:r>
      <w:proofErr w:type="spellStart"/>
      <w:r w:rsidR="008127E1" w:rsidRPr="002D2A2F">
        <w:rPr>
          <w:rFonts w:ascii="Times New Roman" w:hAnsi="Times New Roman" w:cs="Times New Roman"/>
        </w:rPr>
        <w:t>Legal</w:t>
      </w:r>
      <w:proofErr w:type="spellEnd"/>
      <w:r w:rsidR="008127E1" w:rsidRPr="002D2A2F">
        <w:rPr>
          <w:rFonts w:ascii="Times New Roman" w:hAnsi="Times New Roman" w:cs="Times New Roman"/>
        </w:rPr>
        <w:t xml:space="preserve"> Consultative </w:t>
      </w:r>
      <w:proofErr w:type="spellStart"/>
      <w:r w:rsidR="008127E1" w:rsidRPr="002D2A2F">
        <w:rPr>
          <w:rFonts w:ascii="Times New Roman" w:hAnsi="Times New Roman" w:cs="Times New Roman"/>
        </w:rPr>
        <w:t>Organization</w:t>
      </w:r>
      <w:proofErr w:type="spellEnd"/>
      <w:r w:rsidR="008127E1" w:rsidRPr="002D2A2F">
        <w:rPr>
          <w:rFonts w:ascii="Times New Roman" w:hAnsi="Times New Roman" w:cs="Times New Roman"/>
        </w:rPr>
        <w:t xml:space="preserve"> </w:t>
      </w:r>
      <w:r w:rsidR="002D2A2F" w:rsidRPr="002D2A2F">
        <w:rPr>
          <w:rFonts w:ascii="Times New Roman" w:hAnsi="Times New Roman" w:cs="Times New Roman"/>
        </w:rPr>
        <w:t>(AALCO)</w:t>
      </w:r>
      <w:r w:rsidR="008127E1" w:rsidRPr="002D2A2F">
        <w:rPr>
          <w:rFonts w:ascii="Times New Roman" w:hAnsi="Times New Roman" w:cs="Times New Roman"/>
        </w:rPr>
        <w:t xml:space="preserve"> proposent quant à eux </w:t>
      </w:r>
      <w:r>
        <w:rPr>
          <w:rFonts w:ascii="Times New Roman" w:hAnsi="Times New Roman" w:cs="Times New Roman"/>
        </w:rPr>
        <w:t xml:space="preserve">des modèles de clause, voire </w:t>
      </w:r>
      <w:r w:rsidR="002D2A2F">
        <w:rPr>
          <w:rFonts w:ascii="Times New Roman" w:hAnsi="Times New Roman" w:cs="Times New Roman"/>
        </w:rPr>
        <w:t>des modèles d’accord complet</w:t>
      </w:r>
      <w:r>
        <w:rPr>
          <w:rFonts w:ascii="Times New Roman" w:hAnsi="Times New Roman" w:cs="Times New Roman"/>
        </w:rPr>
        <w:t>,</w:t>
      </w:r>
      <w:r w:rsidR="002D2A2F">
        <w:rPr>
          <w:rFonts w:ascii="Times New Roman" w:hAnsi="Times New Roman" w:cs="Times New Roman"/>
        </w:rPr>
        <w:t xml:space="preserve"> </w:t>
      </w:r>
      <w:r w:rsidR="00580B62">
        <w:rPr>
          <w:rFonts w:ascii="Times New Roman" w:hAnsi="Times New Roman" w:cs="Times New Roman"/>
        </w:rPr>
        <w:t xml:space="preserve">à l’intention </w:t>
      </w:r>
      <w:r w:rsidR="002D2A2F">
        <w:rPr>
          <w:rFonts w:ascii="Times New Roman" w:hAnsi="Times New Roman" w:cs="Times New Roman"/>
        </w:rPr>
        <w:t xml:space="preserve">des négociateurs de tous </w:t>
      </w:r>
      <w:r w:rsidR="002D2A2F" w:rsidRPr="002D2A2F">
        <w:rPr>
          <w:rFonts w:ascii="Times New Roman" w:hAnsi="Times New Roman" w:cs="Times New Roman"/>
        </w:rPr>
        <w:t>les États</w:t>
      </w:r>
      <w:r w:rsidR="00D60542" w:rsidRPr="002D2A2F">
        <w:rPr>
          <w:rFonts w:ascii="Times New Roman" w:hAnsi="Times New Roman" w:cs="Times New Roman"/>
        </w:rPr>
        <w:t xml:space="preserve"> </w:t>
      </w:r>
      <w:r w:rsidR="0038374B">
        <w:rPr>
          <w:rFonts w:ascii="Times New Roman" w:hAnsi="Times New Roman" w:cs="Times New Roman"/>
        </w:rPr>
        <w:t>(</w:t>
      </w:r>
      <w:proofErr w:type="spellStart"/>
      <w:r w:rsidR="0038374B">
        <w:rPr>
          <w:rFonts w:ascii="Times New Roman" w:hAnsi="Times New Roman" w:cs="Times New Roman"/>
        </w:rPr>
        <w:t>Newcombe</w:t>
      </w:r>
      <w:proofErr w:type="spellEnd"/>
      <w:r w:rsidR="0038374B">
        <w:rPr>
          <w:rFonts w:ascii="Times New Roman" w:hAnsi="Times New Roman" w:cs="Times New Roman"/>
        </w:rPr>
        <w:t xml:space="preserve"> </w:t>
      </w:r>
      <w:r w:rsidR="00815699">
        <w:rPr>
          <w:rFonts w:ascii="Times New Roman" w:hAnsi="Times New Roman" w:cs="Times New Roman"/>
        </w:rPr>
        <w:t>et</w:t>
      </w:r>
      <w:r w:rsidR="0038374B">
        <w:rPr>
          <w:rFonts w:ascii="Times New Roman" w:hAnsi="Times New Roman" w:cs="Times New Roman"/>
        </w:rPr>
        <w:t xml:space="preserve"> </w:t>
      </w:r>
      <w:proofErr w:type="spellStart"/>
      <w:r w:rsidR="0038374B">
        <w:rPr>
          <w:rFonts w:ascii="Times New Roman" w:hAnsi="Times New Roman" w:cs="Times New Roman"/>
        </w:rPr>
        <w:t>Paradell</w:t>
      </w:r>
      <w:proofErr w:type="spellEnd"/>
      <w:r w:rsidR="0038374B">
        <w:rPr>
          <w:rFonts w:ascii="Times New Roman" w:hAnsi="Times New Roman" w:cs="Times New Roman"/>
        </w:rPr>
        <w:t xml:space="preserve"> 2009 : 30; </w:t>
      </w:r>
      <w:proofErr w:type="spellStart"/>
      <w:r w:rsidR="0038374B">
        <w:rPr>
          <w:rFonts w:ascii="Times New Roman" w:hAnsi="Times New Roman" w:cs="Times New Roman"/>
        </w:rPr>
        <w:t>Newcombe</w:t>
      </w:r>
      <w:proofErr w:type="spellEnd"/>
      <w:r w:rsidR="00C35D4E">
        <w:rPr>
          <w:rFonts w:ascii="Times New Roman" w:hAnsi="Times New Roman" w:cs="Times New Roman"/>
        </w:rPr>
        <w:t xml:space="preserve"> 2013 : </w:t>
      </w:r>
      <w:r w:rsidR="00D60542" w:rsidRPr="002D2A2F">
        <w:rPr>
          <w:rFonts w:ascii="Times New Roman" w:hAnsi="Times New Roman" w:cs="Times New Roman"/>
        </w:rPr>
        <w:t>20)</w:t>
      </w:r>
      <w:r w:rsidR="008E4D9C" w:rsidRPr="002D2A2F">
        <w:rPr>
          <w:rFonts w:ascii="Times New Roman" w:hAnsi="Times New Roman" w:cs="Times New Roman"/>
        </w:rPr>
        <w:t>.</w:t>
      </w:r>
      <w:r w:rsidR="00025BD7" w:rsidRPr="002D2A2F">
        <w:rPr>
          <w:rFonts w:ascii="Times New Roman" w:hAnsi="Times New Roman" w:cs="Times New Roman"/>
        </w:rPr>
        <w:t xml:space="preserve"> En complément, c</w:t>
      </w:r>
      <w:r w:rsidR="008127E1" w:rsidRPr="002D2A2F">
        <w:rPr>
          <w:rFonts w:ascii="Times New Roman" w:hAnsi="Times New Roman" w:cs="Times New Roman"/>
        </w:rPr>
        <w:t>es organismes ainsi que la Conférence des Nations Unies sur le commerce et le développement (CNUCED), l’Organisation internationale de travail (OIT)</w:t>
      </w:r>
      <w:r w:rsidR="00025BD7" w:rsidRPr="002D2A2F">
        <w:rPr>
          <w:rFonts w:ascii="Times New Roman" w:hAnsi="Times New Roman" w:cs="Times New Roman"/>
        </w:rPr>
        <w:t xml:space="preserve"> et </w:t>
      </w:r>
      <w:r w:rsidR="008127E1" w:rsidRPr="002D2A2F">
        <w:rPr>
          <w:rFonts w:ascii="Times New Roman" w:hAnsi="Times New Roman" w:cs="Times New Roman"/>
        </w:rPr>
        <w:t xml:space="preserve">l’International Centre for Trade and </w:t>
      </w:r>
      <w:proofErr w:type="spellStart"/>
      <w:r w:rsidR="008127E1" w:rsidRPr="002D2A2F">
        <w:rPr>
          <w:rFonts w:ascii="Times New Roman" w:hAnsi="Times New Roman" w:cs="Times New Roman"/>
        </w:rPr>
        <w:t>Sustainable</w:t>
      </w:r>
      <w:proofErr w:type="spellEnd"/>
      <w:r w:rsidR="008127E1" w:rsidRPr="002D2A2F">
        <w:rPr>
          <w:rFonts w:ascii="Times New Roman" w:hAnsi="Times New Roman" w:cs="Times New Roman"/>
        </w:rPr>
        <w:t xml:space="preserve"> </w:t>
      </w:r>
      <w:proofErr w:type="spellStart"/>
      <w:r w:rsidR="008127E1" w:rsidRPr="002D2A2F">
        <w:rPr>
          <w:rFonts w:ascii="Times New Roman" w:hAnsi="Times New Roman" w:cs="Times New Roman"/>
        </w:rPr>
        <w:t>Development</w:t>
      </w:r>
      <w:proofErr w:type="spellEnd"/>
      <w:r w:rsidR="008127E1" w:rsidRPr="002D2A2F">
        <w:rPr>
          <w:rFonts w:ascii="Times New Roman" w:hAnsi="Times New Roman" w:cs="Times New Roman"/>
        </w:rPr>
        <w:t xml:space="preserve"> (ICTSD</w:t>
      </w:r>
      <w:r w:rsidR="008127E1">
        <w:rPr>
          <w:rFonts w:ascii="Times New Roman" w:hAnsi="Times New Roman" w:cs="Times New Roman"/>
        </w:rPr>
        <w:t>)</w:t>
      </w:r>
      <w:r w:rsidR="00025BD7">
        <w:rPr>
          <w:rFonts w:ascii="Times New Roman" w:hAnsi="Times New Roman" w:cs="Times New Roman"/>
        </w:rPr>
        <w:t xml:space="preserve">, pour ne donner que ces exemples, financent et publient des travaux en lien avec le droit </w:t>
      </w:r>
      <w:r w:rsidR="00BA2CDD">
        <w:rPr>
          <w:rFonts w:ascii="Times New Roman" w:hAnsi="Times New Roman" w:cs="Times New Roman"/>
        </w:rPr>
        <w:t xml:space="preserve">des investissements. </w:t>
      </w:r>
      <w:r>
        <w:rPr>
          <w:rFonts w:ascii="Times New Roman" w:hAnsi="Times New Roman" w:cs="Times New Roman"/>
        </w:rPr>
        <w:t>P</w:t>
      </w:r>
      <w:r w:rsidR="00BA2CDD">
        <w:rPr>
          <w:rFonts w:ascii="Times New Roman" w:hAnsi="Times New Roman" w:cs="Times New Roman"/>
        </w:rPr>
        <w:t>lusieurs</w:t>
      </w:r>
      <w:r w:rsidR="00025BD7">
        <w:rPr>
          <w:rFonts w:ascii="Times New Roman" w:hAnsi="Times New Roman" w:cs="Times New Roman"/>
        </w:rPr>
        <w:t xml:space="preserve"> forums </w:t>
      </w:r>
      <w:r>
        <w:rPr>
          <w:rFonts w:ascii="Times New Roman" w:hAnsi="Times New Roman" w:cs="Times New Roman"/>
        </w:rPr>
        <w:t xml:space="preserve">ont par ailleurs vu le jour </w:t>
      </w:r>
      <w:r w:rsidR="00025BD7">
        <w:rPr>
          <w:rFonts w:ascii="Times New Roman" w:hAnsi="Times New Roman" w:cs="Times New Roman"/>
        </w:rPr>
        <w:t>pouvant recevoir de</w:t>
      </w:r>
      <w:r w:rsidR="00BA2CDD">
        <w:rPr>
          <w:rFonts w:ascii="Times New Roman" w:hAnsi="Times New Roman" w:cs="Times New Roman"/>
        </w:rPr>
        <w:t xml:space="preserve">s plaintes </w:t>
      </w:r>
      <w:r>
        <w:rPr>
          <w:rFonts w:ascii="Times New Roman" w:hAnsi="Times New Roman" w:cs="Times New Roman"/>
        </w:rPr>
        <w:t>déposées par des investisseurs envers un</w:t>
      </w:r>
      <w:r w:rsidR="00BA2CDD">
        <w:rPr>
          <w:rFonts w:ascii="Times New Roman" w:hAnsi="Times New Roman" w:cs="Times New Roman"/>
        </w:rPr>
        <w:t xml:space="preserve"> État, comme</w:t>
      </w:r>
      <w:r w:rsidR="00025BD7">
        <w:rPr>
          <w:rFonts w:ascii="Times New Roman" w:hAnsi="Times New Roman" w:cs="Times New Roman"/>
        </w:rPr>
        <w:t xml:space="preserve"> </w:t>
      </w:r>
      <w:r w:rsidR="00CA458E">
        <w:rPr>
          <w:rFonts w:ascii="Times New Roman" w:hAnsi="Times New Roman" w:cs="Times New Roman"/>
        </w:rPr>
        <w:t>le</w:t>
      </w:r>
      <w:r w:rsidR="00025BD7">
        <w:rPr>
          <w:rFonts w:ascii="Times New Roman" w:hAnsi="Times New Roman" w:cs="Times New Roman"/>
        </w:rPr>
        <w:t xml:space="preserve"> </w:t>
      </w:r>
      <w:r w:rsidR="00025BD7" w:rsidRPr="00BA2CDD">
        <w:rPr>
          <w:rFonts w:ascii="Times New Roman" w:hAnsi="Times New Roman" w:cs="Times New Roman"/>
        </w:rPr>
        <w:t>CIRDI et la Conférence des Nations Unies sur le commerce international (CNUDCI</w:t>
      </w:r>
      <w:r w:rsidR="00BA2CDD">
        <w:rPr>
          <w:rFonts w:ascii="Times New Roman" w:hAnsi="Times New Roman" w:cs="Times New Roman"/>
        </w:rPr>
        <w:t xml:space="preserve">), </w:t>
      </w:r>
      <w:r>
        <w:rPr>
          <w:rFonts w:ascii="Times New Roman" w:hAnsi="Times New Roman" w:cs="Times New Roman"/>
        </w:rPr>
        <w:t xml:space="preserve">générant ainsi </w:t>
      </w:r>
      <w:r w:rsidR="00CA458E">
        <w:rPr>
          <w:rFonts w:ascii="Times New Roman" w:hAnsi="Times New Roman" w:cs="Times New Roman"/>
        </w:rPr>
        <w:t xml:space="preserve">une vaste jurisprudence depuis le milieu des années 90. </w:t>
      </w:r>
    </w:p>
    <w:p w14:paraId="780EE2FA" w14:textId="6054045C" w:rsidR="00BA2CDD" w:rsidRDefault="00FF7282" w:rsidP="00BA43F7">
      <w:pPr>
        <w:spacing w:before="120" w:after="120" w:line="360" w:lineRule="auto"/>
        <w:jc w:val="both"/>
        <w:rPr>
          <w:rFonts w:ascii="Times New Roman" w:hAnsi="Times New Roman" w:cs="Times New Roman"/>
          <w:lang w:val="fr-FR"/>
        </w:rPr>
      </w:pPr>
      <w:r>
        <w:rPr>
          <w:rFonts w:ascii="Times New Roman" w:hAnsi="Times New Roman" w:cs="Times New Roman"/>
        </w:rPr>
        <w:t>C</w:t>
      </w:r>
      <w:r w:rsidR="00C53AFF">
        <w:rPr>
          <w:rFonts w:ascii="Times New Roman" w:hAnsi="Times New Roman" w:cs="Times New Roman"/>
        </w:rPr>
        <w:t xml:space="preserve">ontrairement </w:t>
      </w:r>
      <w:r w:rsidR="004F26D6">
        <w:rPr>
          <w:rFonts w:ascii="Times New Roman" w:hAnsi="Times New Roman" w:cs="Times New Roman"/>
        </w:rPr>
        <w:t xml:space="preserve">à ce qui est généralement représenté </w:t>
      </w:r>
      <w:r w:rsidR="00C53AFF">
        <w:rPr>
          <w:rFonts w:ascii="Times New Roman" w:hAnsi="Times New Roman" w:cs="Times New Roman"/>
        </w:rPr>
        <w:t>dans la littérature scientifique</w:t>
      </w:r>
      <w:r w:rsidR="00BA2CDD">
        <w:rPr>
          <w:rFonts w:ascii="Times New Roman" w:hAnsi="Times New Roman" w:cs="Times New Roman"/>
        </w:rPr>
        <w:t xml:space="preserve"> </w:t>
      </w:r>
      <w:r w:rsidR="00580B62">
        <w:rPr>
          <w:rFonts w:ascii="Times New Roman" w:hAnsi="Times New Roman" w:cs="Times New Roman"/>
        </w:rPr>
        <w:t xml:space="preserve">en lien avec la </w:t>
      </w:r>
      <w:r w:rsidR="00BA2CDD">
        <w:rPr>
          <w:rFonts w:ascii="Times New Roman" w:hAnsi="Times New Roman" w:cs="Times New Roman"/>
        </w:rPr>
        <w:t>coopération internationale</w:t>
      </w:r>
      <w:r w:rsidR="00C53AFF">
        <w:rPr>
          <w:rFonts w:ascii="Times New Roman" w:hAnsi="Times New Roman" w:cs="Times New Roman"/>
        </w:rPr>
        <w:t>, la négociation de traités bilatéraux d’i</w:t>
      </w:r>
      <w:r>
        <w:rPr>
          <w:rFonts w:ascii="Times New Roman" w:hAnsi="Times New Roman" w:cs="Times New Roman"/>
        </w:rPr>
        <w:t>nvestissement ne s’amorce</w:t>
      </w:r>
      <w:r w:rsidR="00A32CAE">
        <w:rPr>
          <w:rFonts w:ascii="Times New Roman" w:hAnsi="Times New Roman" w:cs="Times New Roman"/>
        </w:rPr>
        <w:t xml:space="preserve"> pas sur une feuille blanche </w:t>
      </w:r>
      <w:r w:rsidR="00D60542">
        <w:rPr>
          <w:rFonts w:ascii="Times New Roman" w:hAnsi="Times New Roman" w:cs="Times New Roman"/>
        </w:rPr>
        <w:t>(</w:t>
      </w:r>
      <w:r w:rsidR="0038374B">
        <w:rPr>
          <w:rFonts w:ascii="Times New Roman" w:hAnsi="Times New Roman" w:cs="Times New Roman"/>
        </w:rPr>
        <w:t xml:space="preserve">Calamita </w:t>
      </w:r>
      <w:r w:rsidR="00C35D4E">
        <w:rPr>
          <w:rFonts w:ascii="Times New Roman" w:hAnsi="Times New Roman" w:cs="Times New Roman"/>
        </w:rPr>
        <w:t xml:space="preserve">2012 : </w:t>
      </w:r>
      <w:r w:rsidR="00FD53EA">
        <w:rPr>
          <w:rFonts w:ascii="Times New Roman" w:hAnsi="Times New Roman" w:cs="Times New Roman"/>
        </w:rPr>
        <w:t>304</w:t>
      </w:r>
      <w:r w:rsidR="0039117E">
        <w:rPr>
          <w:rFonts w:ascii="Times New Roman" w:hAnsi="Times New Roman" w:cs="Times New Roman"/>
        </w:rPr>
        <w:t xml:space="preserve">; </w:t>
      </w:r>
      <w:r w:rsidR="00356EF8">
        <w:rPr>
          <w:rFonts w:ascii="Times New Roman" w:hAnsi="Times New Roman" w:cs="Times New Roman"/>
        </w:rPr>
        <w:t>Meunier et</w:t>
      </w:r>
      <w:r w:rsidR="00850CB0">
        <w:rPr>
          <w:rFonts w:ascii="Times New Roman" w:hAnsi="Times New Roman" w:cs="Times New Roman"/>
        </w:rPr>
        <w:t xml:space="preserve"> Morin</w:t>
      </w:r>
      <w:r w:rsidR="00C35D4E">
        <w:rPr>
          <w:rFonts w:ascii="Times New Roman" w:hAnsi="Times New Roman" w:cs="Times New Roman"/>
        </w:rPr>
        <w:t xml:space="preserve"> 2015 : </w:t>
      </w:r>
      <w:r w:rsidR="00D60542">
        <w:rPr>
          <w:rFonts w:ascii="Times New Roman" w:hAnsi="Times New Roman" w:cs="Times New Roman"/>
        </w:rPr>
        <w:t>146)</w:t>
      </w:r>
      <w:r w:rsidR="00D3763C">
        <w:rPr>
          <w:rFonts w:ascii="Times New Roman" w:hAnsi="Times New Roman" w:cs="Times New Roman"/>
        </w:rPr>
        <w:t xml:space="preserve">. Ces traités ne sont en effet pas créés </w:t>
      </w:r>
      <w:r w:rsidR="00163FE5">
        <w:rPr>
          <w:rFonts w:ascii="Times New Roman" w:hAnsi="Times New Roman" w:cs="Times New Roman"/>
        </w:rPr>
        <w:t>en</w:t>
      </w:r>
      <w:r w:rsidR="00D3763C">
        <w:rPr>
          <w:rFonts w:ascii="Times New Roman" w:hAnsi="Times New Roman" w:cs="Times New Roman"/>
        </w:rPr>
        <w:t xml:space="preserve"> </w:t>
      </w:r>
      <w:r w:rsidR="00A32CAE">
        <w:rPr>
          <w:rFonts w:ascii="Times New Roman" w:hAnsi="Times New Roman" w:cs="Times New Roman"/>
        </w:rPr>
        <w:t>vase clos, à l’abri de toute</w:t>
      </w:r>
      <w:r w:rsidR="00AD27F5">
        <w:rPr>
          <w:rFonts w:ascii="Times New Roman" w:hAnsi="Times New Roman" w:cs="Times New Roman"/>
        </w:rPr>
        <w:t xml:space="preserve"> influence externe, mais bien dans le cadre d</w:t>
      </w:r>
      <w:r w:rsidR="00BA2CDD">
        <w:rPr>
          <w:rFonts w:ascii="Times New Roman" w:hAnsi="Times New Roman" w:cs="Times New Roman"/>
        </w:rPr>
        <w:t>e ce qu’on peut qualifier d’un environnement institutionnel dense et complexe</w:t>
      </w:r>
      <w:r w:rsidR="00163FE5">
        <w:rPr>
          <w:rFonts w:ascii="Times New Roman" w:hAnsi="Times New Roman" w:cs="Times New Roman"/>
        </w:rPr>
        <w:t xml:space="preserve"> qui influence leur contenu</w:t>
      </w:r>
      <w:r w:rsidR="00D3763C">
        <w:rPr>
          <w:rFonts w:ascii="Times New Roman" w:hAnsi="Times New Roman" w:cs="Times New Roman"/>
        </w:rPr>
        <w:t xml:space="preserve"> </w:t>
      </w:r>
      <w:r w:rsidR="00AD27F5">
        <w:rPr>
          <w:rFonts w:ascii="Times New Roman" w:hAnsi="Times New Roman" w:cs="Times New Roman"/>
          <w:lang w:val="fr-FR"/>
        </w:rPr>
        <w:t>(</w:t>
      </w:r>
      <w:proofErr w:type="spellStart"/>
      <w:r w:rsidR="00850CB0">
        <w:rPr>
          <w:rFonts w:ascii="Times New Roman" w:hAnsi="Times New Roman" w:cs="Times New Roman"/>
          <w:lang w:val="fr-FR"/>
        </w:rPr>
        <w:t>Copelovitch</w:t>
      </w:r>
      <w:proofErr w:type="spellEnd"/>
      <w:r w:rsidR="00850CB0">
        <w:rPr>
          <w:rFonts w:ascii="Times New Roman" w:hAnsi="Times New Roman" w:cs="Times New Roman"/>
          <w:lang w:val="fr-FR"/>
        </w:rPr>
        <w:t xml:space="preserve"> et Putnam</w:t>
      </w:r>
      <w:r w:rsidR="00847ED5">
        <w:rPr>
          <w:rFonts w:ascii="Times New Roman" w:hAnsi="Times New Roman" w:cs="Times New Roman"/>
          <w:lang w:val="fr-FR"/>
        </w:rPr>
        <w:t xml:space="preserve"> 2014</w:t>
      </w:r>
      <w:r w:rsidR="00850CB0">
        <w:rPr>
          <w:rFonts w:ascii="Times New Roman" w:hAnsi="Times New Roman" w:cs="Times New Roman"/>
          <w:lang w:val="fr-FR"/>
        </w:rPr>
        <w:t xml:space="preserve">; Meunier et Morin </w:t>
      </w:r>
      <w:r w:rsidR="00AD27F5">
        <w:rPr>
          <w:rFonts w:ascii="Times New Roman" w:hAnsi="Times New Roman" w:cs="Times New Roman"/>
          <w:lang w:val="fr-FR"/>
        </w:rPr>
        <w:t xml:space="preserve">2015). </w:t>
      </w:r>
      <w:r w:rsidR="00163FE5">
        <w:rPr>
          <w:rFonts w:ascii="Times New Roman" w:hAnsi="Times New Roman" w:cs="Times New Roman"/>
          <w:lang w:val="fr-FR"/>
        </w:rPr>
        <w:t xml:space="preserve">Les négociateurs apprennent évidemment des négociations passées, </w:t>
      </w:r>
      <w:r>
        <w:rPr>
          <w:rFonts w:ascii="Times New Roman" w:hAnsi="Times New Roman" w:cs="Times New Roman"/>
          <w:lang w:val="fr-FR"/>
        </w:rPr>
        <w:t xml:space="preserve">tout autant que </w:t>
      </w:r>
      <w:r w:rsidR="00163FE5">
        <w:rPr>
          <w:rFonts w:ascii="Times New Roman" w:hAnsi="Times New Roman" w:cs="Times New Roman"/>
          <w:lang w:val="fr-FR"/>
        </w:rPr>
        <w:t>des plaintes et des travaux des divers organismes ou chercheurs gravitant autour du droit international des investissements.</w:t>
      </w:r>
    </w:p>
    <w:p w14:paraId="1FCF4EAE" w14:textId="41C66923" w:rsidR="00AA26A2" w:rsidRDefault="00163FE5" w:rsidP="00BA43F7">
      <w:pPr>
        <w:spacing w:before="120" w:after="120" w:line="360" w:lineRule="auto"/>
        <w:jc w:val="both"/>
        <w:rPr>
          <w:rFonts w:ascii="Times New Roman" w:hAnsi="Times New Roman" w:cs="Times New Roman"/>
        </w:rPr>
      </w:pPr>
      <w:r>
        <w:rPr>
          <w:rFonts w:ascii="Times New Roman" w:hAnsi="Times New Roman" w:cs="Times New Roman"/>
          <w:lang w:val="fr-FR"/>
        </w:rPr>
        <w:t>Au sein de cet environnement complexe</w:t>
      </w:r>
      <w:r w:rsidR="00CC13AD">
        <w:rPr>
          <w:rFonts w:ascii="Times New Roman" w:hAnsi="Times New Roman" w:cs="Times New Roman"/>
          <w:lang w:val="fr-FR"/>
        </w:rPr>
        <w:t xml:space="preserve"> impliquant une multiplicité d’acteurs</w:t>
      </w:r>
      <w:r w:rsidR="00AA26A2">
        <w:rPr>
          <w:rFonts w:ascii="Times New Roman" w:hAnsi="Times New Roman" w:cs="Times New Roman"/>
          <w:lang w:val="fr-FR"/>
        </w:rPr>
        <w:t xml:space="preserve">, </w:t>
      </w:r>
      <w:r w:rsidR="00AA26A2">
        <w:rPr>
          <w:rFonts w:ascii="Times New Roman" w:hAnsi="Times New Roman" w:cs="Times New Roman"/>
        </w:rPr>
        <w:t>l’Europe a historiquement joué un rôle particulier. Il est tout d’abord notable que les deux traités à la base du droit international des investissemen</w:t>
      </w:r>
      <w:r w:rsidR="008226DE">
        <w:rPr>
          <w:rFonts w:ascii="Times New Roman" w:hAnsi="Times New Roman" w:cs="Times New Roman"/>
        </w:rPr>
        <w:t>ts moderne ont été ratifi</w:t>
      </w:r>
      <w:r w:rsidR="00B2674F">
        <w:rPr>
          <w:rFonts w:ascii="Times New Roman" w:hAnsi="Times New Roman" w:cs="Times New Roman"/>
        </w:rPr>
        <w:t>és par des</w:t>
      </w:r>
      <w:r w:rsidR="00AA26A2">
        <w:rPr>
          <w:rFonts w:ascii="Times New Roman" w:hAnsi="Times New Roman" w:cs="Times New Roman"/>
        </w:rPr>
        <w:t xml:space="preserve"> pays européen</w:t>
      </w:r>
      <w:r w:rsidR="00B2674F">
        <w:rPr>
          <w:rFonts w:ascii="Times New Roman" w:hAnsi="Times New Roman" w:cs="Times New Roman"/>
        </w:rPr>
        <w:t>s</w:t>
      </w:r>
      <w:r w:rsidR="008226DE">
        <w:rPr>
          <w:rFonts w:ascii="Times New Roman" w:hAnsi="Times New Roman" w:cs="Times New Roman"/>
        </w:rPr>
        <w:t> : l’Allemagne et l’Italie</w:t>
      </w:r>
      <w:r w:rsidR="00AA26A2">
        <w:rPr>
          <w:rFonts w:ascii="Times New Roman" w:hAnsi="Times New Roman" w:cs="Times New Roman"/>
        </w:rPr>
        <w:t xml:space="preserve">. </w:t>
      </w:r>
      <w:r w:rsidR="008226DE">
        <w:rPr>
          <w:rFonts w:ascii="Times New Roman" w:hAnsi="Times New Roman" w:cs="Times New Roman"/>
        </w:rPr>
        <w:t>Ce</w:t>
      </w:r>
      <w:r w:rsidR="006B2CB6">
        <w:rPr>
          <w:rFonts w:ascii="Times New Roman" w:hAnsi="Times New Roman" w:cs="Times New Roman"/>
        </w:rPr>
        <w:t xml:space="preserve"> constat s’explique en partie par l’importance qu’o</w:t>
      </w:r>
      <w:r w:rsidR="00FF7282">
        <w:rPr>
          <w:rFonts w:ascii="Times New Roman" w:hAnsi="Times New Roman" w:cs="Times New Roman"/>
        </w:rPr>
        <w:t>nt joué certains industriels e</w:t>
      </w:r>
      <w:r w:rsidR="006B2CB6">
        <w:rPr>
          <w:rFonts w:ascii="Times New Roman" w:hAnsi="Times New Roman" w:cs="Times New Roman"/>
        </w:rPr>
        <w:t xml:space="preserve">uropéens, dont Hermann Abs et Lord </w:t>
      </w:r>
      <w:proofErr w:type="spellStart"/>
      <w:r w:rsidR="006B2CB6">
        <w:rPr>
          <w:rFonts w:ascii="Times New Roman" w:hAnsi="Times New Roman" w:cs="Times New Roman"/>
        </w:rPr>
        <w:t>Shawcross</w:t>
      </w:r>
      <w:proofErr w:type="spellEnd"/>
      <w:r w:rsidR="006B2CB6">
        <w:rPr>
          <w:rFonts w:ascii="Times New Roman" w:hAnsi="Times New Roman" w:cs="Times New Roman"/>
        </w:rPr>
        <w:t>, dans le développement du droit international des inv</w:t>
      </w:r>
      <w:r w:rsidR="00847ED5">
        <w:rPr>
          <w:rFonts w:ascii="Times New Roman" w:hAnsi="Times New Roman" w:cs="Times New Roman"/>
        </w:rPr>
        <w:t>estissements (</w:t>
      </w:r>
      <w:proofErr w:type="spellStart"/>
      <w:r w:rsidR="00847ED5">
        <w:rPr>
          <w:rFonts w:ascii="Times New Roman" w:hAnsi="Times New Roman" w:cs="Times New Roman"/>
        </w:rPr>
        <w:t>Schill</w:t>
      </w:r>
      <w:proofErr w:type="spellEnd"/>
      <w:r w:rsidR="00C35D4E">
        <w:rPr>
          <w:rFonts w:ascii="Times New Roman" w:hAnsi="Times New Roman" w:cs="Times New Roman"/>
        </w:rPr>
        <w:t xml:space="preserve"> 2009 : </w:t>
      </w:r>
      <w:r w:rsidR="006B2CB6">
        <w:rPr>
          <w:rFonts w:ascii="Times New Roman" w:hAnsi="Times New Roman" w:cs="Times New Roman"/>
        </w:rPr>
        <w:t xml:space="preserve">35-36). </w:t>
      </w:r>
      <w:r w:rsidR="000137EF">
        <w:rPr>
          <w:rFonts w:ascii="Times New Roman" w:hAnsi="Times New Roman" w:cs="Times New Roman"/>
        </w:rPr>
        <w:t xml:space="preserve">C’est d’ailleurs un citoyen hollandais, Aron Broches, qui </w:t>
      </w:r>
      <w:r w:rsidR="001D5235">
        <w:rPr>
          <w:rFonts w:ascii="Times New Roman" w:hAnsi="Times New Roman" w:cs="Times New Roman"/>
        </w:rPr>
        <w:t>a supervisé l’écriture de la Convent</w:t>
      </w:r>
      <w:r w:rsidR="00847ED5">
        <w:rPr>
          <w:rFonts w:ascii="Times New Roman" w:hAnsi="Times New Roman" w:cs="Times New Roman"/>
        </w:rPr>
        <w:t>ion instituant le CIRDI (Nelson</w:t>
      </w:r>
      <w:r w:rsidR="001D5235">
        <w:rPr>
          <w:rFonts w:ascii="Times New Roman" w:hAnsi="Times New Roman" w:cs="Times New Roman"/>
        </w:rPr>
        <w:t xml:space="preserve"> 2012 : 162). </w:t>
      </w:r>
      <w:r w:rsidR="00FF7282">
        <w:rPr>
          <w:rFonts w:ascii="Times New Roman" w:hAnsi="Times New Roman" w:cs="Times New Roman"/>
        </w:rPr>
        <w:t>De plus,</w:t>
      </w:r>
      <w:r w:rsidR="00AA26A2">
        <w:rPr>
          <w:rFonts w:ascii="Times New Roman" w:hAnsi="Times New Roman" w:cs="Times New Roman"/>
        </w:rPr>
        <w:t xml:space="preserve"> jusqu’à la fin des années 80, la majorité des traités bilatéraux d’investissements étaient signés entre un pays d’Europe occidentale et un pays en voie de dév</w:t>
      </w:r>
      <w:r w:rsidR="00847ED5">
        <w:rPr>
          <w:rFonts w:ascii="Times New Roman" w:hAnsi="Times New Roman" w:cs="Times New Roman"/>
        </w:rPr>
        <w:t>eloppement (</w:t>
      </w:r>
      <w:proofErr w:type="spellStart"/>
      <w:r w:rsidR="00847ED5">
        <w:rPr>
          <w:rFonts w:ascii="Times New Roman" w:hAnsi="Times New Roman" w:cs="Times New Roman"/>
        </w:rPr>
        <w:t>Newcombe</w:t>
      </w:r>
      <w:proofErr w:type="spellEnd"/>
      <w:r w:rsidR="00C35D4E">
        <w:rPr>
          <w:rFonts w:ascii="Times New Roman" w:hAnsi="Times New Roman" w:cs="Times New Roman"/>
        </w:rPr>
        <w:t xml:space="preserve"> 2013 : </w:t>
      </w:r>
      <w:r w:rsidR="00AA26A2">
        <w:rPr>
          <w:rFonts w:ascii="Times New Roman" w:hAnsi="Times New Roman" w:cs="Times New Roman"/>
        </w:rPr>
        <w:t>17). Les États-Unis et le Canada ne signèrent respectivement leur premier traité bilatéral d’investissement qu’en 1986 avec l’Égypte et</w:t>
      </w:r>
      <w:r w:rsidR="00FF7282">
        <w:rPr>
          <w:rFonts w:ascii="Times New Roman" w:hAnsi="Times New Roman" w:cs="Times New Roman"/>
        </w:rPr>
        <w:t>,</w:t>
      </w:r>
      <w:r w:rsidR="00AA26A2">
        <w:rPr>
          <w:rFonts w:ascii="Times New Roman" w:hAnsi="Times New Roman" w:cs="Times New Roman"/>
        </w:rPr>
        <w:t xml:space="preserve"> en 1989</w:t>
      </w:r>
      <w:r w:rsidR="00FF7282">
        <w:rPr>
          <w:rFonts w:ascii="Times New Roman" w:hAnsi="Times New Roman" w:cs="Times New Roman"/>
        </w:rPr>
        <w:t>,</w:t>
      </w:r>
      <w:r w:rsidR="00AA26A2">
        <w:rPr>
          <w:rFonts w:ascii="Times New Roman" w:hAnsi="Times New Roman" w:cs="Times New Roman"/>
        </w:rPr>
        <w:t xml:space="preserve"> avec l’</w:t>
      </w:r>
      <w:r w:rsidR="00FF7282">
        <w:rPr>
          <w:rFonts w:ascii="Times New Roman" w:hAnsi="Times New Roman" w:cs="Times New Roman"/>
        </w:rPr>
        <w:t>ex-</w:t>
      </w:r>
      <w:r w:rsidR="00AA26A2">
        <w:rPr>
          <w:rFonts w:ascii="Times New Roman" w:hAnsi="Times New Roman" w:cs="Times New Roman"/>
        </w:rPr>
        <w:t xml:space="preserve">URSS </w:t>
      </w:r>
      <w:r w:rsidR="00847ED5">
        <w:rPr>
          <w:rFonts w:ascii="Times New Roman" w:hAnsi="Times New Roman" w:cs="Times New Roman"/>
        </w:rPr>
        <w:t xml:space="preserve">(Lévesque et </w:t>
      </w:r>
      <w:proofErr w:type="spellStart"/>
      <w:r w:rsidR="00847ED5">
        <w:rPr>
          <w:rFonts w:ascii="Times New Roman" w:hAnsi="Times New Roman" w:cs="Times New Roman"/>
        </w:rPr>
        <w:t>Newcombe</w:t>
      </w:r>
      <w:proofErr w:type="spellEnd"/>
      <w:r w:rsidR="00847ED5">
        <w:rPr>
          <w:rFonts w:ascii="Times New Roman" w:hAnsi="Times New Roman" w:cs="Times New Roman"/>
        </w:rPr>
        <w:t xml:space="preserve"> </w:t>
      </w:r>
      <w:r w:rsidR="00C35D4E">
        <w:rPr>
          <w:rFonts w:ascii="Times New Roman" w:hAnsi="Times New Roman" w:cs="Times New Roman"/>
        </w:rPr>
        <w:t xml:space="preserve">2013 : </w:t>
      </w:r>
      <w:r w:rsidR="00AA26A2">
        <w:rPr>
          <w:rFonts w:ascii="Times New Roman" w:hAnsi="Times New Roman" w:cs="Times New Roman"/>
        </w:rPr>
        <w:t xml:space="preserve">40). </w:t>
      </w:r>
    </w:p>
    <w:p w14:paraId="7FAFA11F" w14:textId="7A49A9C8" w:rsidR="00105D44" w:rsidRDefault="00D60542" w:rsidP="00BA43F7">
      <w:pPr>
        <w:spacing w:before="120" w:after="120" w:line="360" w:lineRule="auto"/>
        <w:jc w:val="both"/>
        <w:rPr>
          <w:rFonts w:ascii="Times New Roman" w:hAnsi="Times New Roman" w:cs="Times New Roman"/>
        </w:rPr>
      </w:pPr>
      <w:r>
        <w:rPr>
          <w:rFonts w:ascii="Times New Roman" w:hAnsi="Times New Roman" w:cs="Times New Roman"/>
        </w:rPr>
        <w:lastRenderedPageBreak/>
        <w:t>D</w:t>
      </w:r>
      <w:r w:rsidR="00105D44">
        <w:rPr>
          <w:rFonts w:ascii="Times New Roman" w:hAnsi="Times New Roman" w:cs="Times New Roman"/>
        </w:rPr>
        <w:t>epuis l’avèn</w:t>
      </w:r>
      <w:r w:rsidR="00FF7282">
        <w:rPr>
          <w:rFonts w:ascii="Times New Roman" w:hAnsi="Times New Roman" w:cs="Times New Roman"/>
        </w:rPr>
        <w:t>ement du modèle ALENA</w:t>
      </w:r>
      <w:r>
        <w:rPr>
          <w:rFonts w:ascii="Times New Roman" w:hAnsi="Times New Roman" w:cs="Times New Roman"/>
        </w:rPr>
        <w:t>, le centre géographique</w:t>
      </w:r>
      <w:r w:rsidR="00105D44">
        <w:rPr>
          <w:rFonts w:ascii="Times New Roman" w:hAnsi="Times New Roman" w:cs="Times New Roman"/>
        </w:rPr>
        <w:t xml:space="preserve"> de l’évolution du droit internatio</w:t>
      </w:r>
      <w:r>
        <w:rPr>
          <w:rFonts w:ascii="Times New Roman" w:hAnsi="Times New Roman" w:cs="Times New Roman"/>
        </w:rPr>
        <w:t xml:space="preserve">nal des investissements semble toutefois s’être déplacé en </w:t>
      </w:r>
      <w:r w:rsidR="00105D44">
        <w:rPr>
          <w:rFonts w:ascii="Times New Roman" w:hAnsi="Times New Roman" w:cs="Times New Roman"/>
        </w:rPr>
        <w:t>Amérique du Nord</w:t>
      </w:r>
      <w:r w:rsidR="00775B8F">
        <w:rPr>
          <w:rFonts w:ascii="Times New Roman" w:hAnsi="Times New Roman" w:cs="Times New Roman"/>
        </w:rPr>
        <w:t xml:space="preserve"> (</w:t>
      </w:r>
      <w:proofErr w:type="spellStart"/>
      <w:r w:rsidR="00775B8F">
        <w:rPr>
          <w:rFonts w:ascii="Times New Roman" w:hAnsi="Times New Roman" w:cs="Times New Roman"/>
        </w:rPr>
        <w:t>Alschner</w:t>
      </w:r>
      <w:proofErr w:type="spellEnd"/>
      <w:r w:rsidR="001D5235">
        <w:rPr>
          <w:rFonts w:ascii="Times New Roman" w:hAnsi="Times New Roman" w:cs="Times New Roman"/>
        </w:rPr>
        <w:t xml:space="preserve"> 2013 : 460)</w:t>
      </w:r>
      <w:r w:rsidR="00105D44">
        <w:rPr>
          <w:rFonts w:ascii="Times New Roman" w:hAnsi="Times New Roman" w:cs="Times New Roman"/>
        </w:rPr>
        <w:t xml:space="preserve">. </w:t>
      </w:r>
      <w:r w:rsidR="00B024FC">
        <w:rPr>
          <w:rFonts w:ascii="Times New Roman" w:hAnsi="Times New Roman" w:cs="Times New Roman"/>
        </w:rPr>
        <w:t>Plus</w:t>
      </w:r>
      <w:r w:rsidR="00FF7282">
        <w:rPr>
          <w:rFonts w:ascii="Times New Roman" w:hAnsi="Times New Roman" w:cs="Times New Roman"/>
        </w:rPr>
        <w:t>ieurs pays de la région d’Asie-P</w:t>
      </w:r>
      <w:r w:rsidR="00B024FC">
        <w:rPr>
          <w:rFonts w:ascii="Times New Roman" w:hAnsi="Times New Roman" w:cs="Times New Roman"/>
        </w:rPr>
        <w:t xml:space="preserve">acifique se sont </w:t>
      </w:r>
      <w:r w:rsidR="00BF5024">
        <w:rPr>
          <w:rFonts w:ascii="Times New Roman" w:hAnsi="Times New Roman" w:cs="Times New Roman"/>
        </w:rPr>
        <w:t xml:space="preserve">ainsi </w:t>
      </w:r>
      <w:r w:rsidR="00B024FC">
        <w:rPr>
          <w:rFonts w:ascii="Times New Roman" w:hAnsi="Times New Roman" w:cs="Times New Roman"/>
        </w:rPr>
        <w:t xml:space="preserve">inspirés de la pratique américaine dans l’ébauche </w:t>
      </w:r>
      <w:r w:rsidR="00847ED5">
        <w:rPr>
          <w:rFonts w:ascii="Times New Roman" w:hAnsi="Times New Roman" w:cs="Times New Roman"/>
        </w:rPr>
        <w:t>de leur propre traité (Calamita</w:t>
      </w:r>
      <w:r w:rsidR="00B024FC">
        <w:rPr>
          <w:rFonts w:ascii="Times New Roman" w:hAnsi="Times New Roman" w:cs="Times New Roman"/>
        </w:rPr>
        <w:t xml:space="preserve"> 20</w:t>
      </w:r>
      <w:r w:rsidR="00C35D4E">
        <w:rPr>
          <w:rFonts w:ascii="Times New Roman" w:hAnsi="Times New Roman" w:cs="Times New Roman"/>
        </w:rPr>
        <w:t xml:space="preserve">12 : </w:t>
      </w:r>
      <w:r w:rsidR="00B024FC">
        <w:rPr>
          <w:rFonts w:ascii="Times New Roman" w:hAnsi="Times New Roman" w:cs="Times New Roman"/>
        </w:rPr>
        <w:t xml:space="preserve">328). Certains auteurs </w:t>
      </w:r>
      <w:r w:rsidR="00BF5024">
        <w:rPr>
          <w:rFonts w:ascii="Times New Roman" w:hAnsi="Times New Roman" w:cs="Times New Roman"/>
        </w:rPr>
        <w:t xml:space="preserve">et politiciens européens </w:t>
      </w:r>
      <w:r w:rsidR="00B024FC">
        <w:rPr>
          <w:rFonts w:ascii="Times New Roman" w:hAnsi="Times New Roman" w:cs="Times New Roman"/>
        </w:rPr>
        <w:t>en viennent même à craindre la contamination du</w:t>
      </w:r>
      <w:r w:rsidR="00BF5024">
        <w:rPr>
          <w:rFonts w:ascii="Times New Roman" w:hAnsi="Times New Roman" w:cs="Times New Roman"/>
        </w:rPr>
        <w:t xml:space="preserve"> modèle ALENA</w:t>
      </w:r>
      <w:r w:rsidR="00B024FC">
        <w:rPr>
          <w:rFonts w:ascii="Times New Roman" w:hAnsi="Times New Roman" w:cs="Times New Roman"/>
        </w:rPr>
        <w:t xml:space="preserve"> </w:t>
      </w:r>
      <w:r w:rsidR="00C35D4E">
        <w:rPr>
          <w:rFonts w:ascii="Times New Roman" w:hAnsi="Times New Roman" w:cs="Times New Roman"/>
        </w:rPr>
        <w:t>(</w:t>
      </w:r>
      <w:proofErr w:type="spellStart"/>
      <w:r w:rsidR="00C35D4E">
        <w:rPr>
          <w:rFonts w:ascii="Times New Roman" w:hAnsi="Times New Roman" w:cs="Times New Roman"/>
        </w:rPr>
        <w:t>Reinisch</w:t>
      </w:r>
      <w:proofErr w:type="spellEnd"/>
      <w:r w:rsidR="00775B8F">
        <w:rPr>
          <w:rFonts w:ascii="Times New Roman" w:hAnsi="Times New Roman" w:cs="Times New Roman"/>
        </w:rPr>
        <w:t xml:space="preserve"> </w:t>
      </w:r>
      <w:r w:rsidR="00C35D4E">
        <w:rPr>
          <w:rFonts w:ascii="Times New Roman" w:hAnsi="Times New Roman" w:cs="Times New Roman"/>
        </w:rPr>
        <w:t xml:space="preserve">2014 : </w:t>
      </w:r>
      <w:r w:rsidR="00775B8F">
        <w:rPr>
          <w:rFonts w:ascii="Times New Roman" w:hAnsi="Times New Roman" w:cs="Times New Roman"/>
        </w:rPr>
        <w:t>682</w:t>
      </w:r>
      <w:r w:rsidR="000E75FC">
        <w:rPr>
          <w:rFonts w:ascii="Times New Roman" w:hAnsi="Times New Roman" w:cs="Times New Roman"/>
        </w:rPr>
        <w:t>)</w:t>
      </w:r>
      <w:r w:rsidR="00105D44">
        <w:rPr>
          <w:rFonts w:ascii="Times New Roman" w:hAnsi="Times New Roman" w:cs="Times New Roman"/>
        </w:rPr>
        <w:t>. Avec l’entrée en vigueur du Traité de Lisbonne en 2009</w:t>
      </w:r>
      <w:r w:rsidR="00811FD7">
        <w:rPr>
          <w:rFonts w:ascii="Times New Roman" w:hAnsi="Times New Roman" w:cs="Times New Roman"/>
        </w:rPr>
        <w:t xml:space="preserve">, cette tendance pourrait </w:t>
      </w:r>
      <w:r w:rsidR="00B2674F">
        <w:rPr>
          <w:rFonts w:ascii="Times New Roman" w:hAnsi="Times New Roman" w:cs="Times New Roman"/>
        </w:rPr>
        <w:t>toutefois</w:t>
      </w:r>
      <w:r w:rsidR="002A65C3">
        <w:rPr>
          <w:rFonts w:ascii="Times New Roman" w:hAnsi="Times New Roman" w:cs="Times New Roman"/>
        </w:rPr>
        <w:t xml:space="preserve"> </w:t>
      </w:r>
      <w:r w:rsidR="00FF7282">
        <w:rPr>
          <w:rFonts w:ascii="Times New Roman" w:hAnsi="Times New Roman" w:cs="Times New Roman"/>
        </w:rPr>
        <w:t>s’estomper</w:t>
      </w:r>
      <w:r w:rsidR="00775B8F">
        <w:rPr>
          <w:rFonts w:ascii="Times New Roman" w:hAnsi="Times New Roman" w:cs="Times New Roman"/>
        </w:rPr>
        <w:t xml:space="preserve"> (</w:t>
      </w:r>
      <w:proofErr w:type="spellStart"/>
      <w:r w:rsidR="00775B8F">
        <w:rPr>
          <w:rFonts w:ascii="Times New Roman" w:hAnsi="Times New Roman" w:cs="Times New Roman"/>
        </w:rPr>
        <w:t>Baetens</w:t>
      </w:r>
      <w:proofErr w:type="spellEnd"/>
      <w:r w:rsidR="0078591E">
        <w:rPr>
          <w:rFonts w:ascii="Times New Roman" w:hAnsi="Times New Roman" w:cs="Times New Roman"/>
        </w:rPr>
        <w:t xml:space="preserve"> 2013)</w:t>
      </w:r>
      <w:r w:rsidR="008C5F60">
        <w:rPr>
          <w:rFonts w:ascii="Times New Roman" w:hAnsi="Times New Roman" w:cs="Times New Roman"/>
        </w:rPr>
        <w:t>.</w:t>
      </w:r>
      <w:r w:rsidR="00F26D0A">
        <w:rPr>
          <w:rFonts w:ascii="Times New Roman" w:hAnsi="Times New Roman" w:cs="Times New Roman"/>
        </w:rPr>
        <w:t xml:space="preserve"> Plus de cinquante ans après l’unification de</w:t>
      </w:r>
      <w:r w:rsidR="008C5F60">
        <w:rPr>
          <w:rFonts w:ascii="Times New Roman" w:hAnsi="Times New Roman" w:cs="Times New Roman"/>
        </w:rPr>
        <w:t xml:space="preserve"> la </w:t>
      </w:r>
      <w:r w:rsidR="00A4171D">
        <w:rPr>
          <w:rFonts w:ascii="Times New Roman" w:hAnsi="Times New Roman" w:cs="Times New Roman"/>
        </w:rPr>
        <w:t>politique commerciale</w:t>
      </w:r>
      <w:r w:rsidR="008C5F60">
        <w:rPr>
          <w:rFonts w:ascii="Times New Roman" w:hAnsi="Times New Roman" w:cs="Times New Roman"/>
        </w:rPr>
        <w:t xml:space="preserve"> des pays membres de l’Union européenne</w:t>
      </w:r>
      <w:r w:rsidR="009D28B9">
        <w:rPr>
          <w:rFonts w:ascii="Times New Roman" w:hAnsi="Times New Roman" w:cs="Times New Roman"/>
        </w:rPr>
        <w:t>, l’article 207 du Traité sur le fonctionnement de l’Union européenne (TFUE) vient finalement attribuer la compétence de négocier des traités bilatéraux d’investissement à la Commission européenne. À ce jour, plusieurs questions demeurent sur l’étendue de cette compétence et la qualification des traités bilatéraux d’investissement comme accord</w:t>
      </w:r>
      <w:r w:rsidR="00D103D3">
        <w:rPr>
          <w:rFonts w:ascii="Times New Roman" w:hAnsi="Times New Roman" w:cs="Times New Roman"/>
        </w:rPr>
        <w:t>s</w:t>
      </w:r>
      <w:r w:rsidR="009D28B9">
        <w:rPr>
          <w:rFonts w:ascii="Times New Roman" w:hAnsi="Times New Roman" w:cs="Times New Roman"/>
        </w:rPr>
        <w:t xml:space="preserve"> mixte</w:t>
      </w:r>
      <w:r w:rsidR="00D103D3">
        <w:rPr>
          <w:rFonts w:ascii="Times New Roman" w:hAnsi="Times New Roman" w:cs="Times New Roman"/>
        </w:rPr>
        <w:t>s</w:t>
      </w:r>
      <w:r w:rsidR="009D28B9">
        <w:rPr>
          <w:rFonts w:ascii="Times New Roman" w:hAnsi="Times New Roman" w:cs="Times New Roman"/>
        </w:rPr>
        <w:t xml:space="preserve"> </w:t>
      </w:r>
      <w:r w:rsidR="000E75FC">
        <w:rPr>
          <w:rFonts w:ascii="Times New Roman" w:hAnsi="Times New Roman" w:cs="Times New Roman"/>
        </w:rPr>
        <w:t>(</w:t>
      </w:r>
      <w:proofErr w:type="spellStart"/>
      <w:r w:rsidR="00775B8F">
        <w:rPr>
          <w:rFonts w:ascii="Times New Roman" w:hAnsi="Times New Roman" w:cs="Times New Roman"/>
        </w:rPr>
        <w:t>Chaisse</w:t>
      </w:r>
      <w:proofErr w:type="spellEnd"/>
      <w:r w:rsidR="00775B8F">
        <w:rPr>
          <w:rFonts w:ascii="Times New Roman" w:hAnsi="Times New Roman" w:cs="Times New Roman"/>
        </w:rPr>
        <w:t xml:space="preserve"> 2012; Weiss et</w:t>
      </w:r>
      <w:r w:rsidR="00AA4AE5">
        <w:rPr>
          <w:rFonts w:ascii="Times New Roman" w:hAnsi="Times New Roman" w:cs="Times New Roman"/>
        </w:rPr>
        <w:t xml:space="preserve"> Steiner</w:t>
      </w:r>
      <w:r w:rsidR="006D7B17">
        <w:rPr>
          <w:rFonts w:ascii="Times New Roman" w:hAnsi="Times New Roman" w:cs="Times New Roman"/>
        </w:rPr>
        <w:t xml:space="preserve"> 2013</w:t>
      </w:r>
      <w:r w:rsidR="000E75FC">
        <w:rPr>
          <w:rFonts w:ascii="Times New Roman" w:hAnsi="Times New Roman" w:cs="Times New Roman"/>
        </w:rPr>
        <w:t>)</w:t>
      </w:r>
      <w:r w:rsidR="009D28B9">
        <w:rPr>
          <w:rFonts w:ascii="Times New Roman" w:hAnsi="Times New Roman" w:cs="Times New Roman"/>
        </w:rPr>
        <w:t>. Il semble néanmoins clair que la tâche de négocier ces traités relève maintenant</w:t>
      </w:r>
      <w:r w:rsidR="00BF5024">
        <w:rPr>
          <w:rFonts w:ascii="Times New Roman" w:hAnsi="Times New Roman" w:cs="Times New Roman"/>
        </w:rPr>
        <w:t xml:space="preserve"> de la Commission européenne et </w:t>
      </w:r>
      <w:r w:rsidR="00D717EB">
        <w:rPr>
          <w:rFonts w:ascii="Times New Roman" w:hAnsi="Times New Roman" w:cs="Times New Roman"/>
        </w:rPr>
        <w:t xml:space="preserve">de </w:t>
      </w:r>
      <w:r w:rsidR="009D28B9">
        <w:rPr>
          <w:rFonts w:ascii="Times New Roman" w:hAnsi="Times New Roman" w:cs="Times New Roman"/>
        </w:rPr>
        <w:t>ses agents.</w:t>
      </w:r>
    </w:p>
    <w:p w14:paraId="4DC4F808" w14:textId="77034CD9" w:rsidR="00F709C7" w:rsidRDefault="008C5F60" w:rsidP="00BA43F7">
      <w:pPr>
        <w:spacing w:before="120" w:after="120" w:line="360" w:lineRule="auto"/>
        <w:jc w:val="both"/>
        <w:rPr>
          <w:rFonts w:ascii="Times New Roman" w:hAnsi="Times New Roman" w:cs="Times New Roman"/>
        </w:rPr>
      </w:pPr>
      <w:r>
        <w:rPr>
          <w:rFonts w:ascii="Times New Roman" w:hAnsi="Times New Roman" w:cs="Times New Roman"/>
        </w:rPr>
        <w:t>L’app</w:t>
      </w:r>
      <w:r w:rsidR="00F26D0A">
        <w:rPr>
          <w:rFonts w:ascii="Times New Roman" w:hAnsi="Times New Roman" w:cs="Times New Roman"/>
        </w:rPr>
        <w:t>arition de ce nouvel acteur soulève</w:t>
      </w:r>
      <w:r>
        <w:rPr>
          <w:rFonts w:ascii="Times New Roman" w:hAnsi="Times New Roman" w:cs="Times New Roman"/>
        </w:rPr>
        <w:t xml:space="preserve"> évidemment plusieurs questions</w:t>
      </w:r>
      <w:r w:rsidR="00781A20">
        <w:rPr>
          <w:rFonts w:ascii="Times New Roman" w:hAnsi="Times New Roman" w:cs="Times New Roman"/>
        </w:rPr>
        <w:t xml:space="preserve"> dont</w:t>
      </w:r>
      <w:r w:rsidR="00810AF9">
        <w:rPr>
          <w:rFonts w:ascii="Times New Roman" w:hAnsi="Times New Roman" w:cs="Times New Roman"/>
        </w:rPr>
        <w:t> </w:t>
      </w:r>
      <w:r w:rsidR="00F26D0A">
        <w:rPr>
          <w:rFonts w:ascii="Times New Roman" w:hAnsi="Times New Roman" w:cs="Times New Roman"/>
        </w:rPr>
        <w:t xml:space="preserve">celle-ci </w:t>
      </w:r>
      <w:r w:rsidR="00810AF9">
        <w:rPr>
          <w:rFonts w:ascii="Times New Roman" w:hAnsi="Times New Roman" w:cs="Times New Roman"/>
        </w:rPr>
        <w:t xml:space="preserve">: </w:t>
      </w:r>
      <w:r w:rsidR="00D011C7">
        <w:rPr>
          <w:rFonts w:ascii="Times New Roman" w:hAnsi="Times New Roman" w:cs="Times New Roman"/>
        </w:rPr>
        <w:t>quelles s</w:t>
      </w:r>
      <w:r w:rsidR="00BF5024">
        <w:rPr>
          <w:rFonts w:ascii="Times New Roman" w:hAnsi="Times New Roman" w:cs="Times New Roman"/>
        </w:rPr>
        <w:t xml:space="preserve">ont </w:t>
      </w:r>
      <w:r>
        <w:rPr>
          <w:rFonts w:ascii="Times New Roman" w:hAnsi="Times New Roman" w:cs="Times New Roman"/>
        </w:rPr>
        <w:t>les sources d’inspiration</w:t>
      </w:r>
      <w:r w:rsidR="00F26D0A">
        <w:rPr>
          <w:rFonts w:ascii="Times New Roman" w:hAnsi="Times New Roman" w:cs="Times New Roman"/>
        </w:rPr>
        <w:t xml:space="preserve"> et d’apprentissage qui guiden</w:t>
      </w:r>
      <w:r w:rsidR="00D717EB">
        <w:rPr>
          <w:rFonts w:ascii="Times New Roman" w:hAnsi="Times New Roman" w:cs="Times New Roman"/>
        </w:rPr>
        <w:t xml:space="preserve">t </w:t>
      </w:r>
      <w:r w:rsidR="00D011C7">
        <w:rPr>
          <w:rFonts w:ascii="Times New Roman" w:hAnsi="Times New Roman" w:cs="Times New Roman"/>
        </w:rPr>
        <w:t>la Commission</w:t>
      </w:r>
      <w:r w:rsidR="002F30ED">
        <w:rPr>
          <w:rFonts w:ascii="Times New Roman" w:hAnsi="Times New Roman" w:cs="Times New Roman"/>
        </w:rPr>
        <w:t xml:space="preserve"> européenne</w:t>
      </w:r>
      <w:r w:rsidR="00D011C7">
        <w:rPr>
          <w:rFonts w:ascii="Times New Roman" w:hAnsi="Times New Roman" w:cs="Times New Roman"/>
        </w:rPr>
        <w:t xml:space="preserve"> dans le développement de son</w:t>
      </w:r>
      <w:r>
        <w:rPr>
          <w:rFonts w:ascii="Times New Roman" w:hAnsi="Times New Roman" w:cs="Times New Roman"/>
        </w:rPr>
        <w:t xml:space="preserve"> programme de négociations de traités bilatéraux d’investissement</w:t>
      </w:r>
      <w:r w:rsidR="00D011C7">
        <w:rPr>
          <w:rFonts w:ascii="Times New Roman" w:hAnsi="Times New Roman" w:cs="Times New Roman"/>
        </w:rPr>
        <w:t xml:space="preserve"> </w:t>
      </w:r>
      <w:r>
        <w:rPr>
          <w:rFonts w:ascii="Times New Roman" w:hAnsi="Times New Roman" w:cs="Times New Roman"/>
        </w:rPr>
        <w:t xml:space="preserve">? </w:t>
      </w:r>
      <w:r w:rsidR="00810AF9">
        <w:rPr>
          <w:rFonts w:ascii="Times New Roman" w:hAnsi="Times New Roman" w:cs="Times New Roman"/>
        </w:rPr>
        <w:t xml:space="preserve">D’un point de vue théorique, une telle question aspire à poursuivre la </w:t>
      </w:r>
      <w:r w:rsidR="00D717EB">
        <w:rPr>
          <w:rFonts w:ascii="Times New Roman" w:hAnsi="Times New Roman" w:cs="Times New Roman"/>
        </w:rPr>
        <w:t xml:space="preserve">réflexion engagée au sein de la </w:t>
      </w:r>
      <w:r w:rsidR="00810AF9">
        <w:rPr>
          <w:rFonts w:ascii="Times New Roman" w:hAnsi="Times New Roman" w:cs="Times New Roman"/>
        </w:rPr>
        <w:t>littérature sur les complexes de régime</w:t>
      </w:r>
      <w:r w:rsidR="0078591E">
        <w:rPr>
          <w:rFonts w:ascii="Times New Roman" w:hAnsi="Times New Roman" w:cs="Times New Roman"/>
        </w:rPr>
        <w:t>, la coopération inter</w:t>
      </w:r>
      <w:r w:rsidR="00F26D0A">
        <w:rPr>
          <w:rFonts w:ascii="Times New Roman" w:hAnsi="Times New Roman" w:cs="Times New Roman"/>
        </w:rPr>
        <w:t>nationale et le design rationnel</w:t>
      </w:r>
      <w:r w:rsidR="00810AF9">
        <w:rPr>
          <w:rFonts w:ascii="Times New Roman" w:hAnsi="Times New Roman" w:cs="Times New Roman"/>
        </w:rPr>
        <w:t xml:space="preserve">. Les </w:t>
      </w:r>
      <w:r w:rsidR="00580B62">
        <w:rPr>
          <w:rFonts w:ascii="Times New Roman" w:hAnsi="Times New Roman" w:cs="Times New Roman"/>
        </w:rPr>
        <w:t xml:space="preserve">impacts d’un environnement institutionnel dense </w:t>
      </w:r>
      <w:r w:rsidR="00810AF9">
        <w:rPr>
          <w:rFonts w:ascii="Times New Roman" w:hAnsi="Times New Roman" w:cs="Times New Roman"/>
        </w:rPr>
        <w:t>sur les agents</w:t>
      </w:r>
      <w:r w:rsidR="00C919BF">
        <w:rPr>
          <w:rFonts w:ascii="Times New Roman" w:hAnsi="Times New Roman" w:cs="Times New Roman"/>
        </w:rPr>
        <w:t>,</w:t>
      </w:r>
      <w:r w:rsidR="00810AF9">
        <w:rPr>
          <w:rFonts w:ascii="Times New Roman" w:hAnsi="Times New Roman" w:cs="Times New Roman"/>
        </w:rPr>
        <w:t xml:space="preserve"> et vice-versa</w:t>
      </w:r>
      <w:r w:rsidR="00C919BF">
        <w:rPr>
          <w:rFonts w:ascii="Times New Roman" w:hAnsi="Times New Roman" w:cs="Times New Roman"/>
        </w:rPr>
        <w:t>,</w:t>
      </w:r>
      <w:r w:rsidR="00810AF9">
        <w:rPr>
          <w:rFonts w:ascii="Times New Roman" w:hAnsi="Times New Roman" w:cs="Times New Roman"/>
        </w:rPr>
        <w:t xml:space="preserve"> sont encore des questions</w:t>
      </w:r>
      <w:r w:rsidR="00C919BF">
        <w:rPr>
          <w:rFonts w:ascii="Times New Roman" w:hAnsi="Times New Roman" w:cs="Times New Roman"/>
        </w:rPr>
        <w:t xml:space="preserve"> </w:t>
      </w:r>
      <w:r w:rsidR="00F26D0A">
        <w:rPr>
          <w:rFonts w:ascii="Times New Roman" w:hAnsi="Times New Roman" w:cs="Times New Roman"/>
        </w:rPr>
        <w:t>qui méritent</w:t>
      </w:r>
      <w:r w:rsidR="0078591E">
        <w:rPr>
          <w:rFonts w:ascii="Times New Roman" w:hAnsi="Times New Roman" w:cs="Times New Roman"/>
        </w:rPr>
        <w:t xml:space="preserve"> </w:t>
      </w:r>
      <w:r w:rsidR="00D717EB">
        <w:rPr>
          <w:rFonts w:ascii="Times New Roman" w:hAnsi="Times New Roman" w:cs="Times New Roman"/>
        </w:rPr>
        <w:t>d’être approfondies</w:t>
      </w:r>
      <w:r w:rsidR="00810AF9">
        <w:rPr>
          <w:rFonts w:ascii="Times New Roman" w:hAnsi="Times New Roman" w:cs="Times New Roman"/>
        </w:rPr>
        <w:t xml:space="preserve">. D’un point de vue plus </w:t>
      </w:r>
      <w:r w:rsidR="00F26D0A">
        <w:rPr>
          <w:rFonts w:ascii="Times New Roman" w:hAnsi="Times New Roman" w:cs="Times New Roman"/>
        </w:rPr>
        <w:t>concret</w:t>
      </w:r>
      <w:r w:rsidR="00810AF9">
        <w:rPr>
          <w:rFonts w:ascii="Times New Roman" w:hAnsi="Times New Roman" w:cs="Times New Roman"/>
        </w:rPr>
        <w:t xml:space="preserve">, </w:t>
      </w:r>
      <w:r w:rsidR="002F30ED">
        <w:rPr>
          <w:rFonts w:ascii="Times New Roman" w:hAnsi="Times New Roman" w:cs="Times New Roman"/>
        </w:rPr>
        <w:t xml:space="preserve">cette question </w:t>
      </w:r>
      <w:r w:rsidR="00810AF9">
        <w:rPr>
          <w:rFonts w:ascii="Times New Roman" w:hAnsi="Times New Roman" w:cs="Times New Roman"/>
        </w:rPr>
        <w:t>vis</w:t>
      </w:r>
      <w:r w:rsidR="00F709C7">
        <w:rPr>
          <w:rFonts w:ascii="Times New Roman" w:hAnsi="Times New Roman" w:cs="Times New Roman"/>
        </w:rPr>
        <w:t xml:space="preserve">e </w:t>
      </w:r>
      <w:r w:rsidR="00F26D0A">
        <w:rPr>
          <w:rFonts w:ascii="Times New Roman" w:hAnsi="Times New Roman" w:cs="Times New Roman"/>
        </w:rPr>
        <w:t>à mieux comprendre</w:t>
      </w:r>
      <w:r w:rsidR="00F709C7">
        <w:rPr>
          <w:rFonts w:ascii="Times New Roman" w:hAnsi="Times New Roman" w:cs="Times New Roman"/>
        </w:rPr>
        <w:t xml:space="preserve"> le contexte </w:t>
      </w:r>
      <w:r w:rsidR="00810AF9">
        <w:rPr>
          <w:rFonts w:ascii="Times New Roman" w:hAnsi="Times New Roman" w:cs="Times New Roman"/>
        </w:rPr>
        <w:t xml:space="preserve">derrière </w:t>
      </w:r>
      <w:r w:rsidR="00F26D0A">
        <w:rPr>
          <w:rFonts w:ascii="Times New Roman" w:hAnsi="Times New Roman" w:cs="Times New Roman"/>
        </w:rPr>
        <w:t xml:space="preserve">l’évolution du droit international des </w:t>
      </w:r>
      <w:r w:rsidR="00F709C7">
        <w:rPr>
          <w:rFonts w:ascii="Times New Roman" w:hAnsi="Times New Roman" w:cs="Times New Roman"/>
        </w:rPr>
        <w:t>investissement</w:t>
      </w:r>
      <w:r w:rsidR="00F26D0A">
        <w:rPr>
          <w:rFonts w:ascii="Times New Roman" w:hAnsi="Times New Roman" w:cs="Times New Roman"/>
        </w:rPr>
        <w:t xml:space="preserve">s et à analyser l’impact de l’apparition des nouvelles normes au sein des futurs accords européens. </w:t>
      </w:r>
    </w:p>
    <w:p w14:paraId="52271D4E" w14:textId="4E78C581" w:rsidR="00AB528A" w:rsidRDefault="00F26D0A" w:rsidP="00BA43F7">
      <w:pPr>
        <w:spacing w:before="120" w:after="120" w:line="360" w:lineRule="auto"/>
        <w:jc w:val="both"/>
        <w:rPr>
          <w:rFonts w:ascii="Times New Roman" w:hAnsi="Times New Roman" w:cs="Times New Roman"/>
        </w:rPr>
      </w:pPr>
      <w:r w:rsidRPr="00F26D0A">
        <w:rPr>
          <w:rFonts w:ascii="Times New Roman" w:hAnsi="Times New Roman" w:cs="Times New Roman"/>
        </w:rPr>
        <w:t>Le choix de l’Union européenne présente un intérêt certain et ce, pour plusieurs raisons. D’un point de vue historiqu</w:t>
      </w:r>
      <w:r w:rsidR="00AB528A">
        <w:rPr>
          <w:rFonts w:ascii="Times New Roman" w:hAnsi="Times New Roman" w:cs="Times New Roman"/>
        </w:rPr>
        <w:t>e, l’Europe peut être considéré</w:t>
      </w:r>
      <w:r w:rsidR="00D103D3">
        <w:rPr>
          <w:rFonts w:ascii="Times New Roman" w:hAnsi="Times New Roman" w:cs="Times New Roman"/>
        </w:rPr>
        <w:t>e</w:t>
      </w:r>
      <w:r w:rsidR="00AB528A">
        <w:rPr>
          <w:rFonts w:ascii="Times New Roman" w:hAnsi="Times New Roman" w:cs="Times New Roman"/>
        </w:rPr>
        <w:t xml:space="preserve">, sans exagérer, </w:t>
      </w:r>
      <w:r w:rsidRPr="00F26D0A">
        <w:rPr>
          <w:rFonts w:ascii="Times New Roman" w:hAnsi="Times New Roman" w:cs="Times New Roman"/>
        </w:rPr>
        <w:t>comme l’initiatrice du droit international</w:t>
      </w:r>
      <w:r w:rsidR="00AB528A">
        <w:rPr>
          <w:rFonts w:ascii="Times New Roman" w:hAnsi="Times New Roman" w:cs="Times New Roman"/>
        </w:rPr>
        <w:t xml:space="preserve"> moderne</w:t>
      </w:r>
      <w:r w:rsidRPr="00F26D0A">
        <w:rPr>
          <w:rFonts w:ascii="Times New Roman" w:hAnsi="Times New Roman" w:cs="Times New Roman"/>
        </w:rPr>
        <w:t xml:space="preserve"> des investissements. Son </w:t>
      </w:r>
      <w:r w:rsidRPr="00AB528A">
        <w:rPr>
          <w:rFonts w:ascii="Times New Roman" w:hAnsi="Times New Roman" w:cs="Times New Roman"/>
          <w:i/>
        </w:rPr>
        <w:t>gold standard</w:t>
      </w:r>
      <w:r w:rsidRPr="00F26D0A">
        <w:rPr>
          <w:rFonts w:ascii="Times New Roman" w:hAnsi="Times New Roman" w:cs="Times New Roman"/>
        </w:rPr>
        <w:t xml:space="preserve"> a longtemps été donné comme le modèle à suivre</w:t>
      </w:r>
      <w:r w:rsidR="00AB528A">
        <w:rPr>
          <w:rFonts w:ascii="Times New Roman" w:hAnsi="Times New Roman" w:cs="Times New Roman"/>
        </w:rPr>
        <w:t xml:space="preserve"> et a influencé les pays nord-américains dans le développement de leur premier modèle d’accord</w:t>
      </w:r>
      <w:r w:rsidRPr="00F26D0A">
        <w:rPr>
          <w:rFonts w:ascii="Times New Roman" w:hAnsi="Times New Roman" w:cs="Times New Roman"/>
        </w:rPr>
        <w:t>. Trois autres raisons militaient pour le choix de l’Union européenne dans le cadre de cet essai.</w:t>
      </w:r>
    </w:p>
    <w:p w14:paraId="3DC75D73" w14:textId="0A3DB2BE" w:rsidR="006C6892" w:rsidRDefault="00DE7946" w:rsidP="00BA43F7">
      <w:pPr>
        <w:spacing w:before="120" w:after="120" w:line="360" w:lineRule="auto"/>
        <w:jc w:val="both"/>
        <w:rPr>
          <w:rFonts w:ascii="Times New Roman" w:hAnsi="Times New Roman" w:cs="Times New Roman"/>
        </w:rPr>
      </w:pPr>
      <w:r>
        <w:rPr>
          <w:rFonts w:ascii="Times New Roman" w:hAnsi="Times New Roman" w:cs="Times New Roman"/>
        </w:rPr>
        <w:lastRenderedPageBreak/>
        <w:t xml:space="preserve">La </w:t>
      </w:r>
      <w:r w:rsidR="00851CA1">
        <w:rPr>
          <w:rFonts w:ascii="Times New Roman" w:hAnsi="Times New Roman" w:cs="Times New Roman"/>
        </w:rPr>
        <w:t xml:space="preserve">récente attribution par le Traité de Lisbonne de la compétence de négocier des traités bilatéraux d’investissement à la Commission européenne a </w:t>
      </w:r>
      <w:r w:rsidR="00032EFC">
        <w:rPr>
          <w:rFonts w:ascii="Times New Roman" w:hAnsi="Times New Roman" w:cs="Times New Roman"/>
        </w:rPr>
        <w:t xml:space="preserve">tout d’abord </w:t>
      </w:r>
      <w:r w:rsidR="00AB528A">
        <w:rPr>
          <w:rFonts w:ascii="Times New Roman" w:hAnsi="Times New Roman" w:cs="Times New Roman"/>
        </w:rPr>
        <w:t xml:space="preserve">eu </w:t>
      </w:r>
      <w:r w:rsidR="00851CA1">
        <w:rPr>
          <w:rFonts w:ascii="Times New Roman" w:hAnsi="Times New Roman" w:cs="Times New Roman"/>
        </w:rPr>
        <w:t xml:space="preserve">pour effet de faire apparaitre un nouvel acteur au sein du </w:t>
      </w:r>
      <w:r w:rsidR="00992ACC">
        <w:rPr>
          <w:rFonts w:ascii="Times New Roman" w:hAnsi="Times New Roman" w:cs="Times New Roman"/>
        </w:rPr>
        <w:t>régime</w:t>
      </w:r>
      <w:r w:rsidR="00DF77FB">
        <w:rPr>
          <w:rFonts w:ascii="Times New Roman" w:hAnsi="Times New Roman" w:cs="Times New Roman"/>
        </w:rPr>
        <w:t xml:space="preserve"> international</w:t>
      </w:r>
      <w:r w:rsidR="00992ACC">
        <w:rPr>
          <w:rFonts w:ascii="Times New Roman" w:hAnsi="Times New Roman" w:cs="Times New Roman"/>
        </w:rPr>
        <w:t xml:space="preserve"> des </w:t>
      </w:r>
      <w:r w:rsidR="00851CA1">
        <w:rPr>
          <w:rFonts w:ascii="Times New Roman" w:hAnsi="Times New Roman" w:cs="Times New Roman"/>
        </w:rPr>
        <w:t>investissement</w:t>
      </w:r>
      <w:r w:rsidR="00992ACC">
        <w:rPr>
          <w:rFonts w:ascii="Times New Roman" w:hAnsi="Times New Roman" w:cs="Times New Roman"/>
        </w:rPr>
        <w:t>s</w:t>
      </w:r>
      <w:r w:rsidR="00851CA1">
        <w:rPr>
          <w:rFonts w:ascii="Times New Roman" w:hAnsi="Times New Roman" w:cs="Times New Roman"/>
        </w:rPr>
        <w:t xml:space="preserve">. Sans être totalement </w:t>
      </w:r>
      <w:r w:rsidR="00D44FA9">
        <w:rPr>
          <w:rFonts w:ascii="Times New Roman" w:hAnsi="Times New Roman" w:cs="Times New Roman"/>
        </w:rPr>
        <w:t xml:space="preserve">exempt d’expériences passées, le portrait </w:t>
      </w:r>
      <w:r w:rsidR="00FA4567">
        <w:rPr>
          <w:rFonts w:ascii="Times New Roman" w:hAnsi="Times New Roman" w:cs="Times New Roman"/>
        </w:rPr>
        <w:t xml:space="preserve">relativement </w:t>
      </w:r>
      <w:r w:rsidR="00D44FA9">
        <w:rPr>
          <w:rFonts w:ascii="Times New Roman" w:hAnsi="Times New Roman" w:cs="Times New Roman"/>
        </w:rPr>
        <w:t xml:space="preserve">vierge de la Commission européenne en matière d’investissement permettra certainement de mieux percevoir ses sources d’apprentissage ainsi que ses possibles innovations. </w:t>
      </w:r>
    </w:p>
    <w:p w14:paraId="7D4D8881" w14:textId="69F202B2" w:rsidR="006C6892" w:rsidRDefault="006D7B17" w:rsidP="00BA43F7">
      <w:pPr>
        <w:spacing w:before="120" w:after="120" w:line="360" w:lineRule="auto"/>
        <w:jc w:val="both"/>
        <w:rPr>
          <w:rFonts w:ascii="Times New Roman" w:hAnsi="Times New Roman" w:cs="Times New Roman"/>
        </w:rPr>
      </w:pPr>
      <w:r>
        <w:rPr>
          <w:rFonts w:ascii="Times New Roman" w:hAnsi="Times New Roman" w:cs="Times New Roman"/>
        </w:rPr>
        <w:t>Ensuite,</w:t>
      </w:r>
      <w:r w:rsidR="00D717EB">
        <w:rPr>
          <w:rFonts w:ascii="Times New Roman" w:hAnsi="Times New Roman" w:cs="Times New Roman"/>
        </w:rPr>
        <w:t xml:space="preserve"> l</w:t>
      </w:r>
      <w:r w:rsidR="00D44FA9">
        <w:rPr>
          <w:rFonts w:ascii="Times New Roman" w:hAnsi="Times New Roman" w:cs="Times New Roman"/>
        </w:rPr>
        <w:t xml:space="preserve">a </w:t>
      </w:r>
      <w:r w:rsidR="00DE7946">
        <w:rPr>
          <w:rFonts w:ascii="Times New Roman" w:hAnsi="Times New Roman" w:cs="Times New Roman"/>
        </w:rPr>
        <w:t>particularité de</w:t>
      </w:r>
      <w:r w:rsidR="00AB528A">
        <w:rPr>
          <w:rFonts w:ascii="Times New Roman" w:hAnsi="Times New Roman" w:cs="Times New Roman"/>
        </w:rPr>
        <w:t xml:space="preserve"> la construction européenne revêt</w:t>
      </w:r>
      <w:r w:rsidR="00D44FA9">
        <w:rPr>
          <w:rFonts w:ascii="Times New Roman" w:hAnsi="Times New Roman" w:cs="Times New Roman"/>
        </w:rPr>
        <w:t xml:space="preserve"> un</w:t>
      </w:r>
      <w:r w:rsidR="00D717EB">
        <w:rPr>
          <w:rFonts w:ascii="Times New Roman" w:hAnsi="Times New Roman" w:cs="Times New Roman"/>
        </w:rPr>
        <w:t xml:space="preserve"> intérêt évident. L’existence d’une diversité d’</w:t>
      </w:r>
      <w:r w:rsidR="00277BB1">
        <w:rPr>
          <w:rFonts w:ascii="Times New Roman" w:hAnsi="Times New Roman" w:cs="Times New Roman"/>
        </w:rPr>
        <w:t>institu</w:t>
      </w:r>
      <w:r w:rsidR="00277BB1" w:rsidRPr="00B2674F">
        <w:rPr>
          <w:rFonts w:ascii="Times New Roman" w:hAnsi="Times New Roman" w:cs="Times New Roman"/>
        </w:rPr>
        <w:t>tions</w:t>
      </w:r>
      <w:r w:rsidR="00AB528A">
        <w:rPr>
          <w:rFonts w:ascii="Times New Roman" w:hAnsi="Times New Roman" w:cs="Times New Roman"/>
        </w:rPr>
        <w:t xml:space="preserve"> supranationales</w:t>
      </w:r>
      <w:r w:rsidR="00277BB1" w:rsidRPr="00B2674F">
        <w:rPr>
          <w:rFonts w:ascii="Times New Roman" w:hAnsi="Times New Roman" w:cs="Times New Roman"/>
        </w:rPr>
        <w:t xml:space="preserve"> présentes </w:t>
      </w:r>
      <w:r w:rsidR="00AB528A">
        <w:rPr>
          <w:rFonts w:ascii="Times New Roman" w:hAnsi="Times New Roman" w:cs="Times New Roman"/>
        </w:rPr>
        <w:t>en Europe</w:t>
      </w:r>
      <w:r w:rsidR="00FA4567" w:rsidRPr="00B2674F">
        <w:rPr>
          <w:rFonts w:ascii="Times New Roman" w:hAnsi="Times New Roman" w:cs="Times New Roman"/>
        </w:rPr>
        <w:t xml:space="preserve"> </w:t>
      </w:r>
      <w:r w:rsidR="00D717EB">
        <w:rPr>
          <w:rFonts w:ascii="Times New Roman" w:hAnsi="Times New Roman" w:cs="Times New Roman"/>
        </w:rPr>
        <w:t>es</w:t>
      </w:r>
      <w:r w:rsidR="00FA4567" w:rsidRPr="00B2674F">
        <w:rPr>
          <w:rFonts w:ascii="Times New Roman" w:hAnsi="Times New Roman" w:cs="Times New Roman"/>
        </w:rPr>
        <w:t xml:space="preserve">t </w:t>
      </w:r>
      <w:r w:rsidR="00400D66" w:rsidRPr="00B2674F">
        <w:rPr>
          <w:rFonts w:ascii="Times New Roman" w:hAnsi="Times New Roman" w:cs="Times New Roman"/>
        </w:rPr>
        <w:t>un élément</w:t>
      </w:r>
      <w:r w:rsidR="00FA4567" w:rsidRPr="00B2674F">
        <w:rPr>
          <w:rFonts w:ascii="Times New Roman" w:hAnsi="Times New Roman" w:cs="Times New Roman"/>
        </w:rPr>
        <w:t xml:space="preserve"> </w:t>
      </w:r>
      <w:r w:rsidR="00D717EB">
        <w:rPr>
          <w:rFonts w:ascii="Times New Roman" w:hAnsi="Times New Roman" w:cs="Times New Roman"/>
        </w:rPr>
        <w:t xml:space="preserve">qui a </w:t>
      </w:r>
      <w:r w:rsidR="00D717EB" w:rsidRPr="00B2674F">
        <w:rPr>
          <w:rFonts w:ascii="Times New Roman" w:hAnsi="Times New Roman" w:cs="Times New Roman"/>
        </w:rPr>
        <w:t>inévitablement</w:t>
      </w:r>
      <w:r w:rsidR="00D717EB">
        <w:rPr>
          <w:rFonts w:ascii="Times New Roman" w:hAnsi="Times New Roman" w:cs="Times New Roman"/>
        </w:rPr>
        <w:t xml:space="preserve"> dû être</w:t>
      </w:r>
      <w:r w:rsidR="00FA4567" w:rsidRPr="00B2674F">
        <w:rPr>
          <w:rFonts w:ascii="Times New Roman" w:hAnsi="Times New Roman" w:cs="Times New Roman"/>
        </w:rPr>
        <w:t xml:space="preserve"> </w:t>
      </w:r>
      <w:r w:rsidR="00D717EB">
        <w:rPr>
          <w:rFonts w:ascii="Times New Roman" w:hAnsi="Times New Roman" w:cs="Times New Roman"/>
        </w:rPr>
        <w:t>intégré</w:t>
      </w:r>
      <w:r w:rsidR="00AB528A">
        <w:rPr>
          <w:rFonts w:ascii="Times New Roman" w:hAnsi="Times New Roman" w:cs="Times New Roman"/>
        </w:rPr>
        <w:t xml:space="preserve"> à la présente </w:t>
      </w:r>
      <w:r w:rsidR="00C37828" w:rsidRPr="00B2674F">
        <w:rPr>
          <w:rFonts w:ascii="Times New Roman" w:hAnsi="Times New Roman" w:cs="Times New Roman"/>
        </w:rPr>
        <w:t xml:space="preserve">analyse. </w:t>
      </w:r>
      <w:r w:rsidR="00E72907" w:rsidRPr="00B2674F">
        <w:rPr>
          <w:rFonts w:ascii="Times New Roman" w:hAnsi="Times New Roman" w:cs="Times New Roman"/>
        </w:rPr>
        <w:t>Ainsi, sans être un objectif premier</w:t>
      </w:r>
      <w:r w:rsidR="00400D66" w:rsidRPr="00B2674F">
        <w:rPr>
          <w:rFonts w:ascii="Times New Roman" w:hAnsi="Times New Roman" w:cs="Times New Roman"/>
        </w:rPr>
        <w:t xml:space="preserve"> de </w:t>
      </w:r>
      <w:r w:rsidR="00AB528A">
        <w:rPr>
          <w:rFonts w:ascii="Times New Roman" w:hAnsi="Times New Roman" w:cs="Times New Roman"/>
        </w:rPr>
        <w:t>cet essai</w:t>
      </w:r>
      <w:r w:rsidR="00E72907" w:rsidRPr="00B2674F">
        <w:rPr>
          <w:rFonts w:ascii="Times New Roman" w:hAnsi="Times New Roman" w:cs="Times New Roman"/>
        </w:rPr>
        <w:t xml:space="preserve">, </w:t>
      </w:r>
      <w:r w:rsidR="00AB528A">
        <w:rPr>
          <w:rFonts w:ascii="Times New Roman" w:hAnsi="Times New Roman" w:cs="Times New Roman"/>
        </w:rPr>
        <w:t>ce dernier</w:t>
      </w:r>
      <w:r w:rsidR="000205CC">
        <w:rPr>
          <w:rFonts w:ascii="Times New Roman" w:hAnsi="Times New Roman" w:cs="Times New Roman"/>
        </w:rPr>
        <w:t xml:space="preserve"> </w:t>
      </w:r>
      <w:r>
        <w:rPr>
          <w:rFonts w:ascii="Times New Roman" w:hAnsi="Times New Roman" w:cs="Times New Roman"/>
        </w:rPr>
        <w:t>pourra indirectement contribuer</w:t>
      </w:r>
      <w:r w:rsidR="00400D66" w:rsidRPr="00B2674F">
        <w:rPr>
          <w:rFonts w:ascii="Times New Roman" w:hAnsi="Times New Roman" w:cs="Times New Roman"/>
        </w:rPr>
        <w:t xml:space="preserve"> </w:t>
      </w:r>
      <w:r w:rsidR="00E72907" w:rsidRPr="00B2674F">
        <w:rPr>
          <w:rFonts w:ascii="Times New Roman" w:hAnsi="Times New Roman" w:cs="Times New Roman"/>
        </w:rPr>
        <w:t>aux</w:t>
      </w:r>
      <w:r w:rsidR="00400D66" w:rsidRPr="00B2674F">
        <w:rPr>
          <w:rFonts w:ascii="Times New Roman" w:hAnsi="Times New Roman" w:cs="Times New Roman"/>
        </w:rPr>
        <w:t xml:space="preserve"> réflexions </w:t>
      </w:r>
      <w:r w:rsidR="00B2674F" w:rsidRPr="00B2674F">
        <w:rPr>
          <w:rFonts w:ascii="Times New Roman" w:hAnsi="Times New Roman" w:cs="Times New Roman"/>
        </w:rPr>
        <w:t>reliées au f</w:t>
      </w:r>
      <w:r w:rsidR="00400D66" w:rsidRPr="00B2674F">
        <w:rPr>
          <w:rFonts w:ascii="Times New Roman" w:hAnsi="Times New Roman" w:cs="Times New Roman"/>
        </w:rPr>
        <w:t>onctionnement de l’Union européenne</w:t>
      </w:r>
      <w:r w:rsidR="00E72907" w:rsidRPr="00B2674F">
        <w:rPr>
          <w:rFonts w:ascii="Times New Roman" w:hAnsi="Times New Roman" w:cs="Times New Roman"/>
        </w:rPr>
        <w:t>.</w:t>
      </w:r>
      <w:r w:rsidR="00E72907">
        <w:rPr>
          <w:rFonts w:ascii="Times New Roman" w:hAnsi="Times New Roman" w:cs="Times New Roman"/>
        </w:rPr>
        <w:t xml:space="preserve"> </w:t>
      </w:r>
    </w:p>
    <w:p w14:paraId="624A1B08" w14:textId="7C8E661D" w:rsidR="00803D82" w:rsidRDefault="00E72907" w:rsidP="00BA43F7">
      <w:pPr>
        <w:spacing w:before="120" w:after="120" w:line="360" w:lineRule="auto"/>
        <w:jc w:val="both"/>
        <w:rPr>
          <w:rFonts w:ascii="Times New Roman" w:hAnsi="Times New Roman" w:cs="Times New Roman"/>
        </w:rPr>
      </w:pPr>
      <w:r>
        <w:rPr>
          <w:rFonts w:ascii="Times New Roman" w:hAnsi="Times New Roman" w:cs="Times New Roman"/>
        </w:rPr>
        <w:t>Finalement, le principal intérêt d’étudier l’Union européenne est</w:t>
      </w:r>
      <w:r w:rsidR="00AB528A">
        <w:rPr>
          <w:rFonts w:ascii="Times New Roman" w:hAnsi="Times New Roman" w:cs="Times New Roman"/>
        </w:rPr>
        <w:t>, qu’ensemble, l</w:t>
      </w:r>
      <w:r w:rsidR="0012108D">
        <w:rPr>
          <w:rFonts w:ascii="Times New Roman" w:hAnsi="Times New Roman" w:cs="Times New Roman"/>
        </w:rPr>
        <w:t xml:space="preserve">es pays membres sont </w:t>
      </w:r>
      <w:r w:rsidR="00400D66">
        <w:rPr>
          <w:rFonts w:ascii="Times New Roman" w:hAnsi="Times New Roman" w:cs="Times New Roman"/>
        </w:rPr>
        <w:t xml:space="preserve">les </w:t>
      </w:r>
      <w:r w:rsidR="0012108D">
        <w:rPr>
          <w:rFonts w:ascii="Times New Roman" w:hAnsi="Times New Roman" w:cs="Times New Roman"/>
        </w:rPr>
        <w:t>signataires de près de la moitié des traités bilatéraux d’investi</w:t>
      </w:r>
      <w:r w:rsidR="00AA4AE5">
        <w:rPr>
          <w:rFonts w:ascii="Times New Roman" w:hAnsi="Times New Roman" w:cs="Times New Roman"/>
        </w:rPr>
        <w:t xml:space="preserve">ssements (De </w:t>
      </w:r>
      <w:proofErr w:type="spellStart"/>
      <w:r w:rsidR="00AA4AE5">
        <w:rPr>
          <w:rFonts w:ascii="Times New Roman" w:hAnsi="Times New Roman" w:cs="Times New Roman"/>
        </w:rPr>
        <w:t>Mestral</w:t>
      </w:r>
      <w:proofErr w:type="spellEnd"/>
      <w:r w:rsidR="00AA4AE5">
        <w:rPr>
          <w:rFonts w:ascii="Times New Roman" w:hAnsi="Times New Roman" w:cs="Times New Roman"/>
        </w:rPr>
        <w:t xml:space="preserve"> </w:t>
      </w:r>
      <w:r w:rsidR="00B2674F">
        <w:rPr>
          <w:rFonts w:ascii="Times New Roman" w:hAnsi="Times New Roman" w:cs="Times New Roman"/>
        </w:rPr>
        <w:t>2013 </w:t>
      </w:r>
      <w:r w:rsidR="00C35D4E">
        <w:rPr>
          <w:rFonts w:ascii="Times New Roman" w:hAnsi="Times New Roman" w:cs="Times New Roman"/>
        </w:rPr>
        <w:t xml:space="preserve">: </w:t>
      </w:r>
      <w:r w:rsidR="00B2674F">
        <w:rPr>
          <w:rFonts w:ascii="Times New Roman" w:hAnsi="Times New Roman" w:cs="Times New Roman"/>
        </w:rPr>
        <w:t>56</w:t>
      </w:r>
      <w:r w:rsidR="0012108D">
        <w:rPr>
          <w:rFonts w:ascii="Times New Roman" w:hAnsi="Times New Roman" w:cs="Times New Roman"/>
        </w:rPr>
        <w:t xml:space="preserve">) </w:t>
      </w:r>
      <w:r w:rsidR="00400D66">
        <w:rPr>
          <w:rFonts w:ascii="Times New Roman" w:hAnsi="Times New Roman" w:cs="Times New Roman"/>
        </w:rPr>
        <w:t>et les</w:t>
      </w:r>
      <w:r w:rsidR="0012108D">
        <w:rPr>
          <w:rFonts w:ascii="Times New Roman" w:hAnsi="Times New Roman" w:cs="Times New Roman"/>
        </w:rPr>
        <w:t xml:space="preserve"> premiers importateurs et exportateurs de capit</w:t>
      </w:r>
      <w:r w:rsidR="00AA4AE5">
        <w:rPr>
          <w:rFonts w:ascii="Times New Roman" w:hAnsi="Times New Roman" w:cs="Times New Roman"/>
        </w:rPr>
        <w:t>aux au monde (</w:t>
      </w:r>
      <w:proofErr w:type="spellStart"/>
      <w:r w:rsidR="00AA4AE5">
        <w:rPr>
          <w:rFonts w:ascii="Times New Roman" w:hAnsi="Times New Roman" w:cs="Times New Roman"/>
        </w:rPr>
        <w:t>Chaisse</w:t>
      </w:r>
      <w:proofErr w:type="spellEnd"/>
      <w:r w:rsidR="00AA4AE5">
        <w:rPr>
          <w:rFonts w:ascii="Times New Roman" w:hAnsi="Times New Roman" w:cs="Times New Roman"/>
        </w:rPr>
        <w:t xml:space="preserve"> </w:t>
      </w:r>
      <w:r w:rsidR="00C35D4E">
        <w:rPr>
          <w:rFonts w:ascii="Times New Roman" w:hAnsi="Times New Roman" w:cs="Times New Roman"/>
        </w:rPr>
        <w:t>2012 :</w:t>
      </w:r>
      <w:r w:rsidR="0012108D">
        <w:rPr>
          <w:rFonts w:ascii="Times New Roman" w:hAnsi="Times New Roman" w:cs="Times New Roman"/>
        </w:rPr>
        <w:t xml:space="preserve"> 52</w:t>
      </w:r>
      <w:r w:rsidR="00AA4AE5">
        <w:rPr>
          <w:rFonts w:ascii="Times New Roman" w:hAnsi="Times New Roman" w:cs="Times New Roman"/>
        </w:rPr>
        <w:t xml:space="preserve">; </w:t>
      </w:r>
      <w:proofErr w:type="spellStart"/>
      <w:r w:rsidR="00AA4AE5">
        <w:rPr>
          <w:rFonts w:ascii="Times New Roman" w:hAnsi="Times New Roman" w:cs="Times New Roman"/>
        </w:rPr>
        <w:t>Henquet</w:t>
      </w:r>
      <w:proofErr w:type="spellEnd"/>
      <w:r w:rsidR="00D717EB">
        <w:rPr>
          <w:rFonts w:ascii="Times New Roman" w:hAnsi="Times New Roman" w:cs="Times New Roman"/>
        </w:rPr>
        <w:t xml:space="preserve"> 2013 : 375</w:t>
      </w:r>
      <w:r w:rsidR="0012108D">
        <w:rPr>
          <w:rFonts w:ascii="Times New Roman" w:hAnsi="Times New Roman" w:cs="Times New Roman"/>
        </w:rPr>
        <w:t xml:space="preserve">). </w:t>
      </w:r>
      <w:r w:rsidR="00400D66">
        <w:rPr>
          <w:rFonts w:ascii="Times New Roman" w:hAnsi="Times New Roman" w:cs="Times New Roman"/>
        </w:rPr>
        <w:t xml:space="preserve">En récupérant la compétence sur les investissements étrangers et </w:t>
      </w:r>
      <w:r w:rsidR="00D717EB">
        <w:rPr>
          <w:rFonts w:ascii="Times New Roman" w:hAnsi="Times New Roman" w:cs="Times New Roman"/>
        </w:rPr>
        <w:t xml:space="preserve">en </w:t>
      </w:r>
      <w:r w:rsidR="00D103D3">
        <w:rPr>
          <w:rFonts w:ascii="Times New Roman" w:hAnsi="Times New Roman" w:cs="Times New Roman"/>
        </w:rPr>
        <w:t xml:space="preserve">remplaçant </w:t>
      </w:r>
      <w:r w:rsidR="00D717EB">
        <w:rPr>
          <w:rFonts w:ascii="Times New Roman" w:hAnsi="Times New Roman" w:cs="Times New Roman"/>
        </w:rPr>
        <w:t>progressivement le</w:t>
      </w:r>
      <w:r w:rsidR="00400D66">
        <w:rPr>
          <w:rFonts w:ascii="Times New Roman" w:hAnsi="Times New Roman" w:cs="Times New Roman"/>
        </w:rPr>
        <w:t xml:space="preserve"> réseau d’accords </w:t>
      </w:r>
      <w:r w:rsidR="00AB528A">
        <w:rPr>
          <w:rFonts w:ascii="Times New Roman" w:hAnsi="Times New Roman" w:cs="Times New Roman"/>
        </w:rPr>
        <w:t>signés par chacun d</w:t>
      </w:r>
      <w:r w:rsidR="00400D66">
        <w:rPr>
          <w:rFonts w:ascii="Times New Roman" w:hAnsi="Times New Roman" w:cs="Times New Roman"/>
        </w:rPr>
        <w:t xml:space="preserve">es </w:t>
      </w:r>
      <w:r w:rsidR="0012108D">
        <w:rPr>
          <w:rFonts w:ascii="Times New Roman" w:hAnsi="Times New Roman" w:cs="Times New Roman"/>
        </w:rPr>
        <w:t>pays</w:t>
      </w:r>
      <w:r w:rsidR="00400D66">
        <w:rPr>
          <w:rFonts w:ascii="Times New Roman" w:hAnsi="Times New Roman" w:cs="Times New Roman"/>
        </w:rPr>
        <w:t xml:space="preserve"> européens, la Commission européenne peut </w:t>
      </w:r>
      <w:r w:rsidR="00AB528A">
        <w:rPr>
          <w:rFonts w:ascii="Times New Roman" w:hAnsi="Times New Roman" w:cs="Times New Roman"/>
        </w:rPr>
        <w:t>ainsi</w:t>
      </w:r>
      <w:r w:rsidR="00400D66">
        <w:rPr>
          <w:rFonts w:ascii="Times New Roman" w:hAnsi="Times New Roman" w:cs="Times New Roman"/>
        </w:rPr>
        <w:t xml:space="preserve"> aspirer à influencer</w:t>
      </w:r>
      <w:r w:rsidR="0012108D">
        <w:rPr>
          <w:rFonts w:ascii="Times New Roman" w:hAnsi="Times New Roman" w:cs="Times New Roman"/>
        </w:rPr>
        <w:t xml:space="preserve"> </w:t>
      </w:r>
      <w:r w:rsidR="00D717EB">
        <w:rPr>
          <w:rFonts w:ascii="Times New Roman" w:hAnsi="Times New Roman" w:cs="Times New Roman"/>
        </w:rPr>
        <w:t>l’environnement institutionnel en place</w:t>
      </w:r>
      <w:r w:rsidR="00400D66">
        <w:rPr>
          <w:rFonts w:ascii="Times New Roman" w:hAnsi="Times New Roman" w:cs="Times New Roman"/>
        </w:rPr>
        <w:t>.</w:t>
      </w:r>
      <w:r w:rsidR="00803D82">
        <w:rPr>
          <w:rFonts w:ascii="Times New Roman" w:hAnsi="Times New Roman" w:cs="Times New Roman"/>
        </w:rPr>
        <w:t xml:space="preserve"> Un tel résultat a d’ailleurs déjà pu être observé par le passé dans le domaine de</w:t>
      </w:r>
      <w:r w:rsidR="003B546B">
        <w:rPr>
          <w:rFonts w:ascii="Times New Roman" w:hAnsi="Times New Roman" w:cs="Times New Roman"/>
        </w:rPr>
        <w:t>s services de transport aérien. Suite à des décisions de la Cour de justice européenne</w:t>
      </w:r>
      <w:r w:rsidR="0001022B">
        <w:rPr>
          <w:rFonts w:ascii="Times New Roman" w:hAnsi="Times New Roman" w:cs="Times New Roman"/>
        </w:rPr>
        <w:t xml:space="preserve"> (CJE)</w:t>
      </w:r>
      <w:r w:rsidR="003B546B">
        <w:rPr>
          <w:rFonts w:ascii="Times New Roman" w:hAnsi="Times New Roman" w:cs="Times New Roman"/>
        </w:rPr>
        <w:t xml:space="preserve"> au début des années 2000, il fut en effet reconnu que les quelques 2 000 traités signés par les pays membres de l’Union européenne étaient en contradiction avec le droit europ</w:t>
      </w:r>
      <w:r w:rsidR="00AB528A">
        <w:rPr>
          <w:rFonts w:ascii="Times New Roman" w:hAnsi="Times New Roman" w:cs="Times New Roman"/>
        </w:rPr>
        <w:t xml:space="preserve">éen et devaient donc être abrogés ou </w:t>
      </w:r>
      <w:r w:rsidR="003B546B">
        <w:rPr>
          <w:rFonts w:ascii="Times New Roman" w:hAnsi="Times New Roman" w:cs="Times New Roman"/>
        </w:rPr>
        <w:t>re</w:t>
      </w:r>
      <w:r w:rsidR="00AA4AE5">
        <w:rPr>
          <w:rFonts w:ascii="Times New Roman" w:hAnsi="Times New Roman" w:cs="Times New Roman"/>
        </w:rPr>
        <w:t xml:space="preserve">négociés (De </w:t>
      </w:r>
      <w:proofErr w:type="spellStart"/>
      <w:r w:rsidR="00AA4AE5">
        <w:rPr>
          <w:rFonts w:ascii="Times New Roman" w:hAnsi="Times New Roman" w:cs="Times New Roman"/>
        </w:rPr>
        <w:t>Mestral</w:t>
      </w:r>
      <w:proofErr w:type="spellEnd"/>
      <w:r w:rsidR="00C35D4E">
        <w:rPr>
          <w:rFonts w:ascii="Times New Roman" w:hAnsi="Times New Roman" w:cs="Times New Roman"/>
        </w:rPr>
        <w:t xml:space="preserve"> 2013 : </w:t>
      </w:r>
      <w:r w:rsidR="003B546B">
        <w:rPr>
          <w:rFonts w:ascii="Times New Roman" w:hAnsi="Times New Roman" w:cs="Times New Roman"/>
        </w:rPr>
        <w:t xml:space="preserve">55). La tâche d’élaborer ces nouveaux traités </w:t>
      </w:r>
      <w:r w:rsidR="00AB528A">
        <w:rPr>
          <w:rFonts w:ascii="Times New Roman" w:hAnsi="Times New Roman" w:cs="Times New Roman"/>
        </w:rPr>
        <w:t>avai</w:t>
      </w:r>
      <w:r w:rsidR="00D717EB">
        <w:rPr>
          <w:rFonts w:ascii="Times New Roman" w:hAnsi="Times New Roman" w:cs="Times New Roman"/>
        </w:rPr>
        <w:t>t</w:t>
      </w:r>
      <w:r w:rsidR="003B546B">
        <w:rPr>
          <w:rFonts w:ascii="Times New Roman" w:hAnsi="Times New Roman" w:cs="Times New Roman"/>
        </w:rPr>
        <w:t xml:space="preserve"> alors</w:t>
      </w:r>
      <w:r w:rsidR="00D717EB">
        <w:rPr>
          <w:rFonts w:ascii="Times New Roman" w:hAnsi="Times New Roman" w:cs="Times New Roman"/>
        </w:rPr>
        <w:t xml:space="preserve"> incombé</w:t>
      </w:r>
      <w:r w:rsidR="003B546B">
        <w:rPr>
          <w:rFonts w:ascii="Times New Roman" w:hAnsi="Times New Roman" w:cs="Times New Roman"/>
        </w:rPr>
        <w:t xml:space="preserve"> à la Commission européenne qui </w:t>
      </w:r>
      <w:r w:rsidR="00D717EB">
        <w:rPr>
          <w:rFonts w:ascii="Times New Roman" w:hAnsi="Times New Roman" w:cs="Times New Roman"/>
        </w:rPr>
        <w:t>était</w:t>
      </w:r>
      <w:r w:rsidR="003B546B">
        <w:rPr>
          <w:rFonts w:ascii="Times New Roman" w:hAnsi="Times New Roman" w:cs="Times New Roman"/>
        </w:rPr>
        <w:t xml:space="preserve"> par le fait même</w:t>
      </w:r>
      <w:r w:rsidR="00D717EB">
        <w:rPr>
          <w:rFonts w:ascii="Times New Roman" w:hAnsi="Times New Roman" w:cs="Times New Roman"/>
        </w:rPr>
        <w:t xml:space="preserve"> devenu</w:t>
      </w:r>
      <w:r w:rsidR="00AB528A">
        <w:rPr>
          <w:rFonts w:ascii="Times New Roman" w:hAnsi="Times New Roman" w:cs="Times New Roman"/>
        </w:rPr>
        <w:t>e</w:t>
      </w:r>
      <w:r w:rsidR="003B546B">
        <w:rPr>
          <w:rFonts w:ascii="Times New Roman" w:hAnsi="Times New Roman" w:cs="Times New Roman"/>
        </w:rPr>
        <w:t xml:space="preserve"> l’un des principaux acteurs dans la régulation des services de transport aérien</w:t>
      </w:r>
      <w:r w:rsidR="00D717EB">
        <w:rPr>
          <w:rFonts w:ascii="Times New Roman" w:hAnsi="Times New Roman" w:cs="Times New Roman"/>
        </w:rPr>
        <w:t xml:space="preserve"> et avait </w:t>
      </w:r>
      <w:r w:rsidR="00AB528A">
        <w:rPr>
          <w:rFonts w:ascii="Times New Roman" w:hAnsi="Times New Roman" w:cs="Times New Roman"/>
        </w:rPr>
        <w:t xml:space="preserve">ainsi </w:t>
      </w:r>
      <w:r w:rsidR="00D717EB">
        <w:rPr>
          <w:rFonts w:ascii="Times New Roman" w:hAnsi="Times New Roman" w:cs="Times New Roman"/>
        </w:rPr>
        <w:t xml:space="preserve">pu avoir </w:t>
      </w:r>
      <w:r w:rsidR="003B546B">
        <w:rPr>
          <w:rFonts w:ascii="Times New Roman" w:hAnsi="Times New Roman" w:cs="Times New Roman"/>
        </w:rPr>
        <w:t xml:space="preserve">un impact significatif sur le </w:t>
      </w:r>
      <w:r w:rsidR="00D717EB">
        <w:rPr>
          <w:rFonts w:ascii="Times New Roman" w:hAnsi="Times New Roman" w:cs="Times New Roman"/>
        </w:rPr>
        <w:t xml:space="preserve">développement du </w:t>
      </w:r>
      <w:r w:rsidR="003B546B">
        <w:rPr>
          <w:rFonts w:ascii="Times New Roman" w:hAnsi="Times New Roman" w:cs="Times New Roman"/>
        </w:rPr>
        <w:t>droit internationa</w:t>
      </w:r>
      <w:r w:rsidR="00AA4AE5">
        <w:rPr>
          <w:rFonts w:ascii="Times New Roman" w:hAnsi="Times New Roman" w:cs="Times New Roman"/>
        </w:rPr>
        <w:t xml:space="preserve">l aérien (De </w:t>
      </w:r>
      <w:proofErr w:type="spellStart"/>
      <w:r w:rsidR="00AA4AE5">
        <w:rPr>
          <w:rFonts w:ascii="Times New Roman" w:hAnsi="Times New Roman" w:cs="Times New Roman"/>
        </w:rPr>
        <w:t>Mestral</w:t>
      </w:r>
      <w:proofErr w:type="spellEnd"/>
      <w:r w:rsidR="00C35D4E">
        <w:rPr>
          <w:rFonts w:ascii="Times New Roman" w:hAnsi="Times New Roman" w:cs="Times New Roman"/>
        </w:rPr>
        <w:t xml:space="preserve"> 2013 : </w:t>
      </w:r>
      <w:r w:rsidR="003B546B">
        <w:rPr>
          <w:rFonts w:ascii="Times New Roman" w:hAnsi="Times New Roman" w:cs="Times New Roman"/>
        </w:rPr>
        <w:t>55-56).</w:t>
      </w:r>
    </w:p>
    <w:p w14:paraId="5B051915" w14:textId="01ED7AD6" w:rsidR="007F38E6" w:rsidRPr="00F84435" w:rsidRDefault="00AB528A" w:rsidP="00BA43F7">
      <w:pPr>
        <w:spacing w:before="120" w:after="120" w:line="360" w:lineRule="auto"/>
        <w:jc w:val="both"/>
        <w:rPr>
          <w:rFonts w:ascii="Times New Roman" w:hAnsi="Times New Roman" w:cs="Times New Roman"/>
        </w:rPr>
      </w:pPr>
      <w:r w:rsidRPr="00AB528A">
        <w:rPr>
          <w:rFonts w:ascii="Times New Roman" w:eastAsia="Times New Roman" w:hAnsi="Times New Roman" w:cs="Times New Roman"/>
        </w:rPr>
        <w:t>Pour atteindre l’objectif poursuivi, certes ambitieux, de dégager les sources d’inspiration</w:t>
      </w:r>
      <w:r w:rsidR="006D7B17">
        <w:rPr>
          <w:rFonts w:ascii="Times New Roman" w:eastAsia="Times New Roman" w:hAnsi="Times New Roman" w:cs="Times New Roman"/>
        </w:rPr>
        <w:t xml:space="preserve"> et d’apprentissage de la Commission européenne</w:t>
      </w:r>
      <w:r w:rsidR="00EC21BA">
        <w:rPr>
          <w:rFonts w:ascii="Times New Roman" w:eastAsia="Times New Roman" w:hAnsi="Times New Roman" w:cs="Times New Roman"/>
        </w:rPr>
        <w:t xml:space="preserve"> </w:t>
      </w:r>
      <w:r>
        <w:rPr>
          <w:rFonts w:ascii="Times New Roman" w:eastAsia="Times New Roman" w:hAnsi="Times New Roman" w:cs="Times New Roman"/>
        </w:rPr>
        <w:t>dans le développemen</w:t>
      </w:r>
      <w:r w:rsidR="00EC21BA">
        <w:rPr>
          <w:rFonts w:ascii="Times New Roman" w:eastAsia="Times New Roman" w:hAnsi="Times New Roman" w:cs="Times New Roman"/>
        </w:rPr>
        <w:t>t</w:t>
      </w:r>
      <w:r>
        <w:rPr>
          <w:rFonts w:ascii="Times New Roman" w:eastAsia="Times New Roman" w:hAnsi="Times New Roman" w:cs="Times New Roman"/>
        </w:rPr>
        <w:t xml:space="preserve"> de ses traités bilatéraux d’investissement</w:t>
      </w:r>
      <w:r w:rsidR="04DC667E" w:rsidRPr="04DC667E">
        <w:rPr>
          <w:rFonts w:ascii="Times New Roman" w:eastAsia="Times New Roman" w:hAnsi="Times New Roman" w:cs="Times New Roman"/>
        </w:rPr>
        <w:t>, la présente recherche se divisera en trois principales sections. La première s’attachera à définir le cadre théorique ainsi qu’à énoncer clairement les postulats épistémologiques sous-jac</w:t>
      </w:r>
      <w:r w:rsidR="00EC21BA">
        <w:rPr>
          <w:rFonts w:ascii="Times New Roman" w:eastAsia="Times New Roman" w:hAnsi="Times New Roman" w:cs="Times New Roman"/>
        </w:rPr>
        <w:t>ents aux réflexions ultérieurement soutenues</w:t>
      </w:r>
      <w:r w:rsidR="04DC667E" w:rsidRPr="04DC667E">
        <w:rPr>
          <w:rFonts w:ascii="Times New Roman" w:eastAsia="Times New Roman" w:hAnsi="Times New Roman" w:cs="Times New Roman"/>
        </w:rPr>
        <w:t xml:space="preserve">. Une mise en commun de la littérature en lien avec les complexes de régime, les régimes et la rationalité limitée serviront </w:t>
      </w:r>
      <w:r w:rsidR="04DC667E" w:rsidRPr="04DC667E">
        <w:rPr>
          <w:rFonts w:ascii="Times New Roman" w:eastAsia="Times New Roman" w:hAnsi="Times New Roman" w:cs="Times New Roman"/>
        </w:rPr>
        <w:lastRenderedPageBreak/>
        <w:t xml:space="preserve">essentiellement de base à cette section. La deuxième présentera la méthodologie utilisée pour percevoir le développement de la pratique européenne en matière d’investissement. Il sera alors </w:t>
      </w:r>
      <w:r w:rsidR="00EC21BA">
        <w:rPr>
          <w:rFonts w:ascii="Times New Roman" w:eastAsia="Times New Roman" w:hAnsi="Times New Roman" w:cs="Times New Roman"/>
        </w:rPr>
        <w:t xml:space="preserve">principalement </w:t>
      </w:r>
      <w:r w:rsidR="04DC667E" w:rsidRPr="04DC667E">
        <w:rPr>
          <w:rFonts w:ascii="Times New Roman" w:eastAsia="Times New Roman" w:hAnsi="Times New Roman" w:cs="Times New Roman"/>
        </w:rPr>
        <w:t xml:space="preserve">question d’expliquer comment les principaux éléments d’un modèle d’accord sur l’investissement européen ont </w:t>
      </w:r>
      <w:r w:rsidR="00EC21BA">
        <w:rPr>
          <w:rFonts w:ascii="Times New Roman" w:eastAsia="Times New Roman" w:hAnsi="Times New Roman" w:cs="Times New Roman"/>
        </w:rPr>
        <w:t xml:space="preserve">été </w:t>
      </w:r>
      <w:r w:rsidR="04DC667E" w:rsidRPr="04DC667E">
        <w:rPr>
          <w:rFonts w:ascii="Times New Roman" w:eastAsia="Times New Roman" w:hAnsi="Times New Roman" w:cs="Times New Roman"/>
        </w:rPr>
        <w:t>dégagés à l’aide du récent accord commercial et économique global (AECG) et des plu</w:t>
      </w:r>
      <w:r w:rsidR="00EC21BA">
        <w:rPr>
          <w:rFonts w:ascii="Times New Roman" w:eastAsia="Times New Roman" w:hAnsi="Times New Roman" w:cs="Times New Roman"/>
        </w:rPr>
        <w:t>s récents documents européens. Dans une moindre mesure, c</w:t>
      </w:r>
      <w:r w:rsidR="04DC667E" w:rsidRPr="04DC667E">
        <w:rPr>
          <w:rFonts w:ascii="Times New Roman" w:eastAsia="Times New Roman" w:hAnsi="Times New Roman" w:cs="Times New Roman"/>
        </w:rPr>
        <w:t xml:space="preserve">ette deuxième section servira </w:t>
      </w:r>
      <w:r w:rsidR="00EC21BA">
        <w:rPr>
          <w:rFonts w:ascii="Times New Roman" w:eastAsia="Times New Roman" w:hAnsi="Times New Roman" w:cs="Times New Roman"/>
        </w:rPr>
        <w:t>aussi</w:t>
      </w:r>
      <w:r w:rsidR="04DC667E" w:rsidRPr="04DC667E">
        <w:rPr>
          <w:rFonts w:ascii="Times New Roman" w:eastAsia="Times New Roman" w:hAnsi="Times New Roman" w:cs="Times New Roman"/>
        </w:rPr>
        <w:t xml:space="preserve"> à </w:t>
      </w:r>
      <w:r w:rsidR="00EC21BA">
        <w:rPr>
          <w:rFonts w:ascii="Times New Roman" w:eastAsia="Times New Roman" w:hAnsi="Times New Roman" w:cs="Times New Roman"/>
        </w:rPr>
        <w:t>apporter un point de vue critique au devis méthodologique choisi</w:t>
      </w:r>
      <w:r w:rsidR="04DC667E" w:rsidRPr="04DC667E">
        <w:rPr>
          <w:rFonts w:ascii="Times New Roman" w:eastAsia="Times New Roman" w:hAnsi="Times New Roman" w:cs="Times New Roman"/>
        </w:rPr>
        <w:t xml:space="preserve">. La troisième aura finalement pour objectif de retracer l’origine </w:t>
      </w:r>
      <w:r w:rsidR="008564B4">
        <w:rPr>
          <w:rFonts w:ascii="Times New Roman" w:eastAsia="Times New Roman" w:hAnsi="Times New Roman" w:cs="Times New Roman"/>
        </w:rPr>
        <w:t xml:space="preserve">et d’expliquer les implications </w:t>
      </w:r>
      <w:r w:rsidR="04DC667E" w:rsidRPr="04DC667E">
        <w:rPr>
          <w:rFonts w:ascii="Times New Roman" w:eastAsia="Times New Roman" w:hAnsi="Times New Roman" w:cs="Times New Roman"/>
        </w:rPr>
        <w:t xml:space="preserve">des </w:t>
      </w:r>
      <w:r w:rsidR="00EC21BA">
        <w:rPr>
          <w:rFonts w:ascii="Times New Roman" w:eastAsia="Times New Roman" w:hAnsi="Times New Roman" w:cs="Times New Roman"/>
        </w:rPr>
        <w:t>nouvelles normes</w:t>
      </w:r>
      <w:r w:rsidR="04DC667E" w:rsidRPr="04DC667E">
        <w:rPr>
          <w:rFonts w:ascii="Times New Roman" w:eastAsia="Times New Roman" w:hAnsi="Times New Roman" w:cs="Times New Roman"/>
        </w:rPr>
        <w:t xml:space="preserve"> au sein de la pratique européenne en matière </w:t>
      </w:r>
      <w:r w:rsidR="00EC21BA">
        <w:rPr>
          <w:rFonts w:ascii="Times New Roman" w:eastAsia="Times New Roman" w:hAnsi="Times New Roman" w:cs="Times New Roman"/>
        </w:rPr>
        <w:t xml:space="preserve">d’investissement à l'aide des </w:t>
      </w:r>
      <w:r w:rsidR="04DC667E" w:rsidRPr="04DC667E">
        <w:rPr>
          <w:rFonts w:ascii="Times New Roman" w:eastAsia="Times New Roman" w:hAnsi="Times New Roman" w:cs="Times New Roman"/>
        </w:rPr>
        <w:t>théorie</w:t>
      </w:r>
      <w:r w:rsidR="00EC21BA">
        <w:rPr>
          <w:rFonts w:ascii="Times New Roman" w:eastAsia="Times New Roman" w:hAnsi="Times New Roman" w:cs="Times New Roman"/>
        </w:rPr>
        <w:t>s</w:t>
      </w:r>
      <w:r w:rsidR="04DC667E" w:rsidRPr="04DC667E">
        <w:rPr>
          <w:rFonts w:ascii="Times New Roman" w:eastAsia="Times New Roman" w:hAnsi="Times New Roman" w:cs="Times New Roman"/>
        </w:rPr>
        <w:t xml:space="preserve"> précédemment </w:t>
      </w:r>
      <w:r w:rsidR="00EC21BA">
        <w:rPr>
          <w:rFonts w:ascii="Times New Roman" w:eastAsia="Times New Roman" w:hAnsi="Times New Roman" w:cs="Times New Roman"/>
        </w:rPr>
        <w:t>exposées</w:t>
      </w:r>
      <w:r w:rsidR="04DC667E" w:rsidRPr="04DC667E">
        <w:rPr>
          <w:rFonts w:ascii="Times New Roman" w:eastAsia="Times New Roman" w:hAnsi="Times New Roman" w:cs="Times New Roman"/>
        </w:rPr>
        <w:t xml:space="preserve">. </w:t>
      </w:r>
      <w:r>
        <w:rPr>
          <w:rFonts w:ascii="Times New Roman" w:eastAsia="Times New Roman" w:hAnsi="Times New Roman" w:cs="Times New Roman"/>
        </w:rPr>
        <w:t xml:space="preserve">Il est ici attendu que bien que la Commission européenne adopte une approche en apparence similaire à celle développée en Amérique du Nord, </w:t>
      </w:r>
      <w:r w:rsidR="008564B4">
        <w:rPr>
          <w:rFonts w:ascii="Times New Roman" w:eastAsia="Times New Roman" w:hAnsi="Times New Roman" w:cs="Times New Roman"/>
        </w:rPr>
        <w:t>plusieurs autres acteurs et pratiques l’influencent dans le développement de son modèle. Ainsi, même si l’on peut parler d’une contamination du modèle ALENA, il serait faux de croire que la Commission européenne ne développe pas son propre modèle</w:t>
      </w:r>
      <w:r w:rsidR="00E21968">
        <w:rPr>
          <w:rFonts w:ascii="Times New Roman" w:eastAsia="Times New Roman" w:hAnsi="Times New Roman" w:cs="Times New Roman"/>
        </w:rPr>
        <w:t xml:space="preserve"> qui est plus préci</w:t>
      </w:r>
      <w:r w:rsidR="00DE067A">
        <w:rPr>
          <w:rFonts w:ascii="Times New Roman" w:eastAsia="Times New Roman" w:hAnsi="Times New Roman" w:cs="Times New Roman"/>
        </w:rPr>
        <w:t>s sur certains enjeux (</w:t>
      </w:r>
      <w:proofErr w:type="spellStart"/>
      <w:r w:rsidR="00DE067A">
        <w:rPr>
          <w:rFonts w:ascii="Times New Roman" w:eastAsia="Times New Roman" w:hAnsi="Times New Roman" w:cs="Times New Roman"/>
        </w:rPr>
        <w:t>Reinisch</w:t>
      </w:r>
      <w:proofErr w:type="spellEnd"/>
      <w:r w:rsidR="00E21968">
        <w:rPr>
          <w:rFonts w:ascii="Times New Roman" w:eastAsia="Times New Roman" w:hAnsi="Times New Roman" w:cs="Times New Roman"/>
        </w:rPr>
        <w:t xml:space="preserve"> 2014 : 704)</w:t>
      </w:r>
      <w:r w:rsidR="008564B4">
        <w:rPr>
          <w:rFonts w:ascii="Times New Roman" w:eastAsia="Times New Roman" w:hAnsi="Times New Roman" w:cs="Times New Roman"/>
        </w:rPr>
        <w:t>.</w:t>
      </w:r>
      <w:r w:rsidR="00F84435">
        <w:rPr>
          <w:rFonts w:ascii="Times New Roman" w:eastAsia="Times New Roman" w:hAnsi="Times New Roman" w:cs="Times New Roman"/>
        </w:rPr>
        <w:t xml:space="preserve"> En d’autres mots, l’Europe serait peut-être en voie d’abandonner son </w:t>
      </w:r>
      <w:r w:rsidR="00F84435">
        <w:rPr>
          <w:rFonts w:ascii="Times New Roman" w:eastAsia="Times New Roman" w:hAnsi="Times New Roman" w:cs="Times New Roman"/>
          <w:i/>
        </w:rPr>
        <w:t xml:space="preserve">gold standard </w:t>
      </w:r>
      <w:r w:rsidR="00F84435">
        <w:rPr>
          <w:rFonts w:ascii="Times New Roman" w:eastAsia="Times New Roman" w:hAnsi="Times New Roman" w:cs="Times New Roman"/>
        </w:rPr>
        <w:t xml:space="preserve">au profit d’un </w:t>
      </w:r>
      <w:proofErr w:type="spellStart"/>
      <w:r w:rsidR="00F84435">
        <w:rPr>
          <w:rFonts w:ascii="Times New Roman" w:eastAsia="Times New Roman" w:hAnsi="Times New Roman" w:cs="Times New Roman"/>
          <w:i/>
        </w:rPr>
        <w:t>Platinum</w:t>
      </w:r>
      <w:proofErr w:type="spellEnd"/>
      <w:r w:rsidR="00F84435">
        <w:rPr>
          <w:rFonts w:ascii="Times New Roman" w:eastAsia="Times New Roman" w:hAnsi="Times New Roman" w:cs="Times New Roman"/>
          <w:i/>
        </w:rPr>
        <w:t xml:space="preserve"> standard</w:t>
      </w:r>
      <w:r w:rsidR="00DE067A">
        <w:rPr>
          <w:rFonts w:ascii="Times New Roman" w:eastAsia="Times New Roman" w:hAnsi="Times New Roman" w:cs="Times New Roman"/>
        </w:rPr>
        <w:t xml:space="preserve"> (Titi</w:t>
      </w:r>
      <w:r w:rsidR="00F84435">
        <w:rPr>
          <w:rFonts w:ascii="Times New Roman" w:eastAsia="Times New Roman" w:hAnsi="Times New Roman" w:cs="Times New Roman"/>
        </w:rPr>
        <w:t xml:space="preserve"> 2014 : 535)</w:t>
      </w:r>
    </w:p>
    <w:p w14:paraId="4161CF53" w14:textId="24758019" w:rsidR="006C6892" w:rsidRPr="006A5780" w:rsidRDefault="001849B7" w:rsidP="00BA43F7">
      <w:pPr>
        <w:pStyle w:val="Titre1"/>
        <w:spacing w:before="120" w:after="120"/>
        <w:rPr>
          <w:rFonts w:ascii="Times New Roman" w:hAnsi="Times New Roman" w:cs="Times New Roman"/>
          <w:b/>
        </w:rPr>
      </w:pPr>
      <w:bookmarkStart w:id="1" w:name="_Toc313471453"/>
      <w:r w:rsidRPr="006A5780">
        <w:rPr>
          <w:rFonts w:ascii="Times New Roman" w:hAnsi="Times New Roman" w:cs="Times New Roman"/>
          <w:b/>
          <w:color w:val="auto"/>
          <w:sz w:val="28"/>
        </w:rPr>
        <w:t xml:space="preserve">2. </w:t>
      </w:r>
      <w:r w:rsidR="00CC3FA7" w:rsidRPr="006A5780">
        <w:rPr>
          <w:rFonts w:ascii="Times New Roman" w:hAnsi="Times New Roman" w:cs="Times New Roman"/>
          <w:b/>
          <w:color w:val="auto"/>
          <w:sz w:val="28"/>
        </w:rPr>
        <w:t>Le régime des investissements, entre ordre et anarchie</w:t>
      </w:r>
      <w:bookmarkEnd w:id="1"/>
      <w:r w:rsidR="00CC3FA7" w:rsidRPr="006A5780">
        <w:rPr>
          <w:rFonts w:ascii="Times New Roman" w:hAnsi="Times New Roman" w:cs="Times New Roman"/>
          <w:b/>
          <w:color w:val="auto"/>
          <w:sz w:val="28"/>
        </w:rPr>
        <w:t xml:space="preserve"> </w:t>
      </w:r>
    </w:p>
    <w:p w14:paraId="32534D65" w14:textId="1FA193A3" w:rsidR="00E061DF" w:rsidRDefault="00A46F08" w:rsidP="00BA43F7">
      <w:pPr>
        <w:spacing w:before="120" w:after="120" w:line="360" w:lineRule="auto"/>
        <w:jc w:val="both"/>
        <w:rPr>
          <w:rFonts w:ascii="Times New Roman" w:hAnsi="Times New Roman" w:cs="Times New Roman"/>
          <w:szCs w:val="26"/>
        </w:rPr>
      </w:pPr>
      <w:r>
        <w:rPr>
          <w:rFonts w:ascii="Times New Roman" w:hAnsi="Times New Roman" w:cs="Times New Roman"/>
          <w:szCs w:val="26"/>
        </w:rPr>
        <w:t>En 1945,</w:t>
      </w:r>
      <w:r w:rsidR="00524D4A">
        <w:rPr>
          <w:rFonts w:ascii="Times New Roman" w:hAnsi="Times New Roman" w:cs="Times New Roman"/>
          <w:szCs w:val="26"/>
        </w:rPr>
        <w:t xml:space="preserve"> le</w:t>
      </w:r>
      <w:r>
        <w:rPr>
          <w:rFonts w:ascii="Times New Roman" w:hAnsi="Times New Roman" w:cs="Times New Roman"/>
          <w:szCs w:val="26"/>
        </w:rPr>
        <w:t xml:space="preserve"> </w:t>
      </w:r>
      <w:r w:rsidR="00E061DF">
        <w:rPr>
          <w:rFonts w:ascii="Times New Roman" w:hAnsi="Times New Roman" w:cs="Times New Roman"/>
          <w:szCs w:val="26"/>
        </w:rPr>
        <w:t xml:space="preserve">premier ministre japonais </w:t>
      </w:r>
      <w:proofErr w:type="spellStart"/>
      <w:r>
        <w:rPr>
          <w:rFonts w:ascii="Times New Roman" w:hAnsi="Times New Roman" w:cs="Times New Roman"/>
          <w:szCs w:val="26"/>
        </w:rPr>
        <w:t>Kantar</w:t>
      </w:r>
      <w:r w:rsidRPr="004037A0">
        <w:rPr>
          <w:rFonts w:ascii="Times New Roman" w:hAnsi="Times New Roman" w:cs="Times New Roman"/>
          <w:szCs w:val="26"/>
        </w:rPr>
        <w:t>ō</w:t>
      </w:r>
      <w:proofErr w:type="spellEnd"/>
      <w:r w:rsidR="00524D4A">
        <w:rPr>
          <w:rFonts w:ascii="Times New Roman" w:hAnsi="Times New Roman" w:cs="Times New Roman"/>
          <w:szCs w:val="26"/>
        </w:rPr>
        <w:t xml:space="preserve"> Suzuki décida</w:t>
      </w:r>
      <w:r w:rsidR="00EC21BA">
        <w:rPr>
          <w:rFonts w:ascii="Times New Roman" w:hAnsi="Times New Roman" w:cs="Times New Roman"/>
          <w:szCs w:val="26"/>
        </w:rPr>
        <w:t>it</w:t>
      </w:r>
      <w:r w:rsidR="00524D4A">
        <w:rPr>
          <w:rFonts w:ascii="Times New Roman" w:hAnsi="Times New Roman" w:cs="Times New Roman"/>
          <w:szCs w:val="26"/>
        </w:rPr>
        <w:t xml:space="preserve"> d’ignorer (</w:t>
      </w:r>
      <w:proofErr w:type="spellStart"/>
      <w:r w:rsidR="00524D4A">
        <w:rPr>
          <w:rFonts w:ascii="Times New Roman" w:hAnsi="Times New Roman" w:cs="Times New Roman"/>
          <w:i/>
          <w:szCs w:val="26"/>
        </w:rPr>
        <w:t>Mokusatsu</w:t>
      </w:r>
      <w:proofErr w:type="spellEnd"/>
      <w:r w:rsidR="00524D4A">
        <w:rPr>
          <w:rFonts w:ascii="Times New Roman" w:hAnsi="Times New Roman" w:cs="Times New Roman"/>
          <w:i/>
          <w:szCs w:val="26"/>
        </w:rPr>
        <w:t xml:space="preserve">) </w:t>
      </w:r>
      <w:r w:rsidR="00EC21BA">
        <w:rPr>
          <w:rFonts w:ascii="Times New Roman" w:hAnsi="Times New Roman" w:cs="Times New Roman"/>
          <w:szCs w:val="26"/>
        </w:rPr>
        <w:t xml:space="preserve">l’ultimatum lancé par les États-Unis lui demandant de déposer les armes. Cette fin de non-recevoir </w:t>
      </w:r>
      <w:r w:rsidR="00411FE6">
        <w:rPr>
          <w:rFonts w:ascii="Times New Roman" w:hAnsi="Times New Roman" w:cs="Times New Roman"/>
          <w:szCs w:val="26"/>
        </w:rPr>
        <w:t xml:space="preserve">amena </w:t>
      </w:r>
      <w:r w:rsidR="00524D4A">
        <w:rPr>
          <w:rFonts w:ascii="Times New Roman" w:hAnsi="Times New Roman" w:cs="Times New Roman"/>
          <w:szCs w:val="26"/>
        </w:rPr>
        <w:t>les États-Unis à utiliser pour la</w:t>
      </w:r>
      <w:r w:rsidR="00411FE6">
        <w:rPr>
          <w:rFonts w:ascii="Times New Roman" w:hAnsi="Times New Roman" w:cs="Times New Roman"/>
          <w:szCs w:val="26"/>
        </w:rPr>
        <w:t xml:space="preserve"> seule </w:t>
      </w:r>
      <w:r w:rsidR="00524D4A">
        <w:rPr>
          <w:rFonts w:ascii="Times New Roman" w:hAnsi="Times New Roman" w:cs="Times New Roman"/>
          <w:szCs w:val="26"/>
        </w:rPr>
        <w:t>fois de l’histoire moderne l’arme nucléaire</w:t>
      </w:r>
      <w:r w:rsidR="00411FE6">
        <w:rPr>
          <w:rFonts w:ascii="Times New Roman" w:hAnsi="Times New Roman" w:cs="Times New Roman"/>
          <w:szCs w:val="26"/>
        </w:rPr>
        <w:t>.</w:t>
      </w:r>
      <w:r w:rsidR="00E061DF">
        <w:rPr>
          <w:rFonts w:ascii="Times New Roman" w:hAnsi="Times New Roman" w:cs="Times New Roman"/>
          <w:szCs w:val="26"/>
        </w:rPr>
        <w:t xml:space="preserve"> Fait intéressant, le verbe </w:t>
      </w:r>
      <w:proofErr w:type="spellStart"/>
      <w:r w:rsidR="00E061DF">
        <w:rPr>
          <w:rFonts w:ascii="Times New Roman" w:hAnsi="Times New Roman" w:cs="Times New Roman"/>
          <w:i/>
          <w:szCs w:val="26"/>
        </w:rPr>
        <w:t>Mokusatsu</w:t>
      </w:r>
      <w:proofErr w:type="spellEnd"/>
      <w:r w:rsidR="00E061DF">
        <w:rPr>
          <w:rFonts w:ascii="Times New Roman" w:hAnsi="Times New Roman" w:cs="Times New Roman"/>
          <w:i/>
          <w:szCs w:val="26"/>
        </w:rPr>
        <w:t xml:space="preserve"> </w:t>
      </w:r>
      <w:r w:rsidR="00E061DF">
        <w:rPr>
          <w:rFonts w:ascii="Times New Roman" w:hAnsi="Times New Roman" w:cs="Times New Roman"/>
          <w:szCs w:val="26"/>
        </w:rPr>
        <w:t xml:space="preserve">aurait apparemment également pu signifier le désir de </w:t>
      </w:r>
      <w:proofErr w:type="spellStart"/>
      <w:r w:rsidR="00E061DF">
        <w:rPr>
          <w:rFonts w:ascii="Times New Roman" w:hAnsi="Times New Roman" w:cs="Times New Roman"/>
          <w:szCs w:val="26"/>
        </w:rPr>
        <w:t>Kantar</w:t>
      </w:r>
      <w:r w:rsidR="00E061DF" w:rsidRPr="004037A0">
        <w:rPr>
          <w:rFonts w:ascii="Times New Roman" w:hAnsi="Times New Roman" w:cs="Times New Roman"/>
          <w:szCs w:val="26"/>
        </w:rPr>
        <w:t>ō</w:t>
      </w:r>
      <w:proofErr w:type="spellEnd"/>
      <w:r w:rsidR="00E061DF">
        <w:rPr>
          <w:rFonts w:ascii="Times New Roman" w:hAnsi="Times New Roman" w:cs="Times New Roman"/>
          <w:szCs w:val="26"/>
        </w:rPr>
        <w:t xml:space="preserve"> Suzuki de simplement s’abstenir de commentaires. Auquel cas, le</w:t>
      </w:r>
      <w:r w:rsidR="00524D4A">
        <w:rPr>
          <w:rFonts w:ascii="Times New Roman" w:hAnsi="Times New Roman" w:cs="Times New Roman"/>
          <w:szCs w:val="26"/>
        </w:rPr>
        <w:t>s</w:t>
      </w:r>
      <w:r w:rsidR="00E061DF">
        <w:rPr>
          <w:rFonts w:ascii="Times New Roman" w:hAnsi="Times New Roman" w:cs="Times New Roman"/>
          <w:szCs w:val="26"/>
        </w:rPr>
        <w:t xml:space="preserve"> triste</w:t>
      </w:r>
      <w:r w:rsidR="00524D4A">
        <w:rPr>
          <w:rFonts w:ascii="Times New Roman" w:hAnsi="Times New Roman" w:cs="Times New Roman"/>
          <w:szCs w:val="26"/>
        </w:rPr>
        <w:t>s</w:t>
      </w:r>
      <w:r w:rsidR="00E061DF">
        <w:rPr>
          <w:rFonts w:ascii="Times New Roman" w:hAnsi="Times New Roman" w:cs="Times New Roman"/>
          <w:szCs w:val="26"/>
        </w:rPr>
        <w:t xml:space="preserve"> bombardement</w:t>
      </w:r>
      <w:r w:rsidR="00524D4A">
        <w:rPr>
          <w:rFonts w:ascii="Times New Roman" w:hAnsi="Times New Roman" w:cs="Times New Roman"/>
          <w:szCs w:val="26"/>
        </w:rPr>
        <w:t>s atomiques d’Hiroshima et</w:t>
      </w:r>
      <w:r w:rsidR="00092815">
        <w:rPr>
          <w:rFonts w:ascii="Times New Roman" w:hAnsi="Times New Roman" w:cs="Times New Roman"/>
          <w:szCs w:val="26"/>
        </w:rPr>
        <w:t xml:space="preserve"> de</w:t>
      </w:r>
      <w:r w:rsidR="00524D4A">
        <w:rPr>
          <w:rFonts w:ascii="Times New Roman" w:hAnsi="Times New Roman" w:cs="Times New Roman"/>
          <w:szCs w:val="26"/>
        </w:rPr>
        <w:t xml:space="preserve"> Nagasaki</w:t>
      </w:r>
      <w:r w:rsidR="00E061DF">
        <w:rPr>
          <w:rFonts w:ascii="Times New Roman" w:hAnsi="Times New Roman" w:cs="Times New Roman"/>
          <w:szCs w:val="26"/>
        </w:rPr>
        <w:t xml:space="preserve"> pourrai</w:t>
      </w:r>
      <w:r w:rsidR="00524D4A">
        <w:rPr>
          <w:rFonts w:ascii="Times New Roman" w:hAnsi="Times New Roman" w:cs="Times New Roman"/>
          <w:szCs w:val="26"/>
        </w:rPr>
        <w:t>en</w:t>
      </w:r>
      <w:r w:rsidR="00E061DF">
        <w:rPr>
          <w:rFonts w:ascii="Times New Roman" w:hAnsi="Times New Roman" w:cs="Times New Roman"/>
          <w:szCs w:val="26"/>
        </w:rPr>
        <w:t xml:space="preserve">t être le résultat d’un malheureux choix de mots. </w:t>
      </w:r>
      <w:r w:rsidR="00524D4A">
        <w:rPr>
          <w:rFonts w:ascii="Times New Roman" w:hAnsi="Times New Roman" w:cs="Times New Roman"/>
          <w:szCs w:val="26"/>
        </w:rPr>
        <w:t>Dans un même ordre d’idée</w:t>
      </w:r>
      <w:r w:rsidR="00092815">
        <w:rPr>
          <w:rFonts w:ascii="Times New Roman" w:hAnsi="Times New Roman" w:cs="Times New Roman"/>
          <w:szCs w:val="26"/>
        </w:rPr>
        <w:t>s, quoique</w:t>
      </w:r>
      <w:r w:rsidR="00524D4A">
        <w:rPr>
          <w:rFonts w:ascii="Times New Roman" w:hAnsi="Times New Roman" w:cs="Times New Roman"/>
          <w:szCs w:val="26"/>
        </w:rPr>
        <w:t xml:space="preserve"> plus </w:t>
      </w:r>
      <w:r w:rsidR="00092815">
        <w:rPr>
          <w:rFonts w:ascii="Times New Roman" w:hAnsi="Times New Roman" w:cs="Times New Roman"/>
          <w:szCs w:val="26"/>
        </w:rPr>
        <w:t>humoristique, le p</w:t>
      </w:r>
      <w:r w:rsidR="00E061DF">
        <w:rPr>
          <w:rFonts w:ascii="Times New Roman" w:hAnsi="Times New Roman" w:cs="Times New Roman"/>
          <w:szCs w:val="26"/>
        </w:rPr>
        <w:t xml:space="preserve">résident américain John F. Kennedy ne s’attendait </w:t>
      </w:r>
      <w:proofErr w:type="spellStart"/>
      <w:r w:rsidR="00E061DF">
        <w:rPr>
          <w:rFonts w:ascii="Times New Roman" w:hAnsi="Times New Roman" w:cs="Times New Roman"/>
          <w:szCs w:val="26"/>
        </w:rPr>
        <w:t>sûrement</w:t>
      </w:r>
      <w:proofErr w:type="spellEnd"/>
      <w:r w:rsidR="00E061DF">
        <w:rPr>
          <w:rFonts w:ascii="Times New Roman" w:hAnsi="Times New Roman" w:cs="Times New Roman"/>
          <w:szCs w:val="26"/>
        </w:rPr>
        <w:t xml:space="preserve"> pas à créer la controverse en énonçant sa célèbre phrase : </w:t>
      </w:r>
      <w:proofErr w:type="spellStart"/>
      <w:r w:rsidR="00E061DF">
        <w:rPr>
          <w:rFonts w:ascii="Times New Roman" w:hAnsi="Times New Roman" w:cs="Times New Roman"/>
          <w:i/>
          <w:szCs w:val="26"/>
        </w:rPr>
        <w:t>Ich</w:t>
      </w:r>
      <w:proofErr w:type="spellEnd"/>
      <w:r w:rsidR="00E061DF">
        <w:rPr>
          <w:rFonts w:ascii="Times New Roman" w:hAnsi="Times New Roman" w:cs="Times New Roman"/>
          <w:i/>
          <w:szCs w:val="26"/>
        </w:rPr>
        <w:t xml:space="preserve"> bin </w:t>
      </w:r>
      <w:proofErr w:type="spellStart"/>
      <w:r w:rsidR="00E061DF">
        <w:rPr>
          <w:rFonts w:ascii="Times New Roman" w:hAnsi="Times New Roman" w:cs="Times New Roman"/>
          <w:i/>
          <w:szCs w:val="26"/>
        </w:rPr>
        <w:t>ein</w:t>
      </w:r>
      <w:proofErr w:type="spellEnd"/>
      <w:r w:rsidR="00E061DF">
        <w:rPr>
          <w:rFonts w:ascii="Times New Roman" w:hAnsi="Times New Roman" w:cs="Times New Roman"/>
          <w:i/>
          <w:szCs w:val="26"/>
        </w:rPr>
        <w:t xml:space="preserve"> </w:t>
      </w:r>
      <w:proofErr w:type="spellStart"/>
      <w:r w:rsidR="00E061DF">
        <w:rPr>
          <w:rFonts w:ascii="Times New Roman" w:hAnsi="Times New Roman" w:cs="Times New Roman"/>
          <w:i/>
          <w:szCs w:val="26"/>
        </w:rPr>
        <w:t>Berliner</w:t>
      </w:r>
      <w:proofErr w:type="spellEnd"/>
      <w:r w:rsidR="00E061DF">
        <w:rPr>
          <w:rFonts w:ascii="Times New Roman" w:hAnsi="Times New Roman" w:cs="Times New Roman"/>
          <w:i/>
          <w:szCs w:val="26"/>
        </w:rPr>
        <w:t xml:space="preserve">! </w:t>
      </w:r>
      <w:r w:rsidR="00E061DF">
        <w:rPr>
          <w:rFonts w:ascii="Times New Roman" w:hAnsi="Times New Roman" w:cs="Times New Roman"/>
          <w:szCs w:val="26"/>
        </w:rPr>
        <w:t>Dans un contexte grave comme celui de</w:t>
      </w:r>
      <w:r w:rsidR="00524D4A">
        <w:rPr>
          <w:rFonts w:ascii="Times New Roman" w:hAnsi="Times New Roman" w:cs="Times New Roman"/>
          <w:szCs w:val="26"/>
        </w:rPr>
        <w:t xml:space="preserve"> la guerre froide où il voulait offrir</w:t>
      </w:r>
      <w:r w:rsidR="00E061DF">
        <w:rPr>
          <w:rFonts w:ascii="Times New Roman" w:hAnsi="Times New Roman" w:cs="Times New Roman"/>
          <w:szCs w:val="26"/>
        </w:rPr>
        <w:t xml:space="preserve"> son soutien aux citoyens ouest-allemands, nul ne doute qu’il ne désirait pas se </w:t>
      </w:r>
      <w:r w:rsidR="00092815">
        <w:rPr>
          <w:rFonts w:ascii="Times New Roman" w:hAnsi="Times New Roman" w:cs="Times New Roman"/>
          <w:szCs w:val="26"/>
        </w:rPr>
        <w:t>comparer à un beignet berlinois!</w:t>
      </w:r>
    </w:p>
    <w:p w14:paraId="04B2EEF2" w14:textId="1ACE43E5" w:rsidR="00992ACC" w:rsidRDefault="00092815" w:rsidP="00BA43F7">
      <w:pPr>
        <w:spacing w:before="120" w:after="120" w:line="360" w:lineRule="auto"/>
        <w:jc w:val="both"/>
        <w:rPr>
          <w:rFonts w:ascii="Times New Roman" w:hAnsi="Times New Roman" w:cs="Times New Roman"/>
          <w:szCs w:val="26"/>
        </w:rPr>
      </w:pPr>
      <w:r>
        <w:rPr>
          <w:rFonts w:ascii="Times New Roman" w:hAnsi="Times New Roman" w:cs="Times New Roman"/>
          <w:szCs w:val="26"/>
        </w:rPr>
        <w:t>L</w:t>
      </w:r>
      <w:r w:rsidR="00E061DF">
        <w:rPr>
          <w:rFonts w:ascii="Times New Roman" w:hAnsi="Times New Roman" w:cs="Times New Roman"/>
          <w:szCs w:val="26"/>
        </w:rPr>
        <w:t xml:space="preserve">e premier ministre japonais </w:t>
      </w:r>
      <w:r w:rsidR="003609A7">
        <w:rPr>
          <w:rFonts w:ascii="Times New Roman" w:hAnsi="Times New Roman" w:cs="Times New Roman"/>
          <w:szCs w:val="26"/>
        </w:rPr>
        <w:t>s’est</w:t>
      </w:r>
      <w:r>
        <w:rPr>
          <w:rFonts w:ascii="Times New Roman" w:hAnsi="Times New Roman" w:cs="Times New Roman"/>
          <w:szCs w:val="26"/>
        </w:rPr>
        <w:t>-il</w:t>
      </w:r>
      <w:r w:rsidR="003609A7">
        <w:rPr>
          <w:rFonts w:ascii="Times New Roman" w:hAnsi="Times New Roman" w:cs="Times New Roman"/>
          <w:szCs w:val="26"/>
        </w:rPr>
        <w:t xml:space="preserve"> mal exprimé</w:t>
      </w:r>
      <w:r w:rsidR="00524D4A">
        <w:rPr>
          <w:rFonts w:ascii="Times New Roman" w:hAnsi="Times New Roman" w:cs="Times New Roman"/>
          <w:szCs w:val="26"/>
        </w:rPr>
        <w:t xml:space="preserve"> </w:t>
      </w:r>
      <w:proofErr w:type="gramStart"/>
      <w:r w:rsidR="00524D4A">
        <w:rPr>
          <w:rFonts w:ascii="Times New Roman" w:hAnsi="Times New Roman" w:cs="Times New Roman"/>
          <w:szCs w:val="26"/>
        </w:rPr>
        <w:t>ou</w:t>
      </w:r>
      <w:proofErr w:type="gramEnd"/>
      <w:r w:rsidR="00524D4A">
        <w:rPr>
          <w:rFonts w:ascii="Times New Roman" w:hAnsi="Times New Roman" w:cs="Times New Roman"/>
          <w:szCs w:val="26"/>
        </w:rPr>
        <w:t xml:space="preserve"> </w:t>
      </w:r>
      <w:r w:rsidR="006A5B66">
        <w:rPr>
          <w:rFonts w:ascii="Times New Roman" w:hAnsi="Times New Roman" w:cs="Times New Roman"/>
          <w:szCs w:val="26"/>
        </w:rPr>
        <w:t>a-t-il simplement été mal traduit ?</w:t>
      </w:r>
      <w:r w:rsidR="00524D4A">
        <w:rPr>
          <w:rFonts w:ascii="Times New Roman" w:hAnsi="Times New Roman" w:cs="Times New Roman"/>
          <w:szCs w:val="26"/>
        </w:rPr>
        <w:t xml:space="preserve"> </w:t>
      </w:r>
      <w:r w:rsidR="00187B30">
        <w:rPr>
          <w:rFonts w:ascii="Times New Roman" w:hAnsi="Times New Roman" w:cs="Times New Roman"/>
          <w:szCs w:val="26"/>
        </w:rPr>
        <w:t>La formulation de John F. Kennedy était-elle bonne ou mauvaise ? Ces questions</w:t>
      </w:r>
      <w:r>
        <w:rPr>
          <w:rFonts w:ascii="Times New Roman" w:hAnsi="Times New Roman" w:cs="Times New Roman"/>
          <w:szCs w:val="26"/>
        </w:rPr>
        <w:t xml:space="preserve">, pour anodines qu’elles puissent </w:t>
      </w:r>
      <w:proofErr w:type="spellStart"/>
      <w:r>
        <w:rPr>
          <w:rFonts w:ascii="Times New Roman" w:hAnsi="Times New Roman" w:cs="Times New Roman"/>
          <w:szCs w:val="26"/>
        </w:rPr>
        <w:t>paraître</w:t>
      </w:r>
      <w:proofErr w:type="spellEnd"/>
      <w:r>
        <w:rPr>
          <w:rFonts w:ascii="Times New Roman" w:hAnsi="Times New Roman" w:cs="Times New Roman"/>
          <w:szCs w:val="26"/>
        </w:rPr>
        <w:t>, n’en démontrent pas moins l’importance des mots</w:t>
      </w:r>
      <w:r w:rsidR="00992ACC">
        <w:rPr>
          <w:rFonts w:ascii="Times New Roman" w:hAnsi="Times New Roman" w:cs="Times New Roman"/>
          <w:szCs w:val="26"/>
        </w:rPr>
        <w:t xml:space="preserve">. Que ce soit un décideur public, un chercheur ou un simple étudiant en études internationales, l’utilisation d’un </w:t>
      </w:r>
      <w:r w:rsidR="00992ACC">
        <w:rPr>
          <w:rFonts w:ascii="Times New Roman" w:hAnsi="Times New Roman" w:cs="Times New Roman"/>
          <w:szCs w:val="26"/>
        </w:rPr>
        <w:lastRenderedPageBreak/>
        <w:t xml:space="preserve">terme au lieu d’un autre comporte des conséquences. </w:t>
      </w:r>
      <w:r w:rsidR="006A5B66">
        <w:rPr>
          <w:rFonts w:ascii="Times New Roman" w:hAnsi="Times New Roman" w:cs="Times New Roman"/>
          <w:szCs w:val="26"/>
        </w:rPr>
        <w:t>En somme :</w:t>
      </w:r>
      <w:r w:rsidR="007B5C0A">
        <w:rPr>
          <w:rFonts w:ascii="Times New Roman" w:hAnsi="Times New Roman" w:cs="Times New Roman"/>
          <w:szCs w:val="26"/>
        </w:rPr>
        <w:t xml:space="preserve"> </w:t>
      </w:r>
      <w:proofErr w:type="spellStart"/>
      <w:r w:rsidR="007B5C0A">
        <w:rPr>
          <w:rFonts w:ascii="Times New Roman" w:hAnsi="Times New Roman" w:cs="Times New Roman"/>
          <w:i/>
          <w:szCs w:val="26"/>
        </w:rPr>
        <w:t>Words</w:t>
      </w:r>
      <w:proofErr w:type="spellEnd"/>
      <w:r w:rsidR="007B5C0A">
        <w:rPr>
          <w:rFonts w:ascii="Times New Roman" w:hAnsi="Times New Roman" w:cs="Times New Roman"/>
          <w:i/>
          <w:szCs w:val="26"/>
        </w:rPr>
        <w:t xml:space="preserve"> </w:t>
      </w:r>
      <w:proofErr w:type="spellStart"/>
      <w:r w:rsidR="007B5C0A">
        <w:rPr>
          <w:rFonts w:ascii="Times New Roman" w:hAnsi="Times New Roman" w:cs="Times New Roman"/>
          <w:i/>
          <w:szCs w:val="26"/>
        </w:rPr>
        <w:t>can</w:t>
      </w:r>
      <w:proofErr w:type="spellEnd"/>
      <w:r w:rsidR="007B5C0A">
        <w:rPr>
          <w:rFonts w:ascii="Times New Roman" w:hAnsi="Times New Roman" w:cs="Times New Roman"/>
          <w:i/>
          <w:szCs w:val="26"/>
        </w:rPr>
        <w:t xml:space="preserve"> </w:t>
      </w:r>
      <w:proofErr w:type="spellStart"/>
      <w:r w:rsidR="007B5C0A">
        <w:rPr>
          <w:rFonts w:ascii="Times New Roman" w:hAnsi="Times New Roman" w:cs="Times New Roman"/>
          <w:i/>
          <w:szCs w:val="26"/>
        </w:rPr>
        <w:t>hurt</w:t>
      </w:r>
      <w:proofErr w:type="spellEnd"/>
      <w:r w:rsidR="007B5C0A">
        <w:rPr>
          <w:rFonts w:ascii="Times New Roman" w:hAnsi="Times New Roman" w:cs="Times New Roman"/>
          <w:i/>
          <w:szCs w:val="26"/>
        </w:rPr>
        <w:t xml:space="preserve"> </w:t>
      </w:r>
      <w:proofErr w:type="spellStart"/>
      <w:r w:rsidR="007B5C0A">
        <w:rPr>
          <w:rFonts w:ascii="Times New Roman" w:hAnsi="Times New Roman" w:cs="Times New Roman"/>
          <w:i/>
          <w:szCs w:val="26"/>
        </w:rPr>
        <w:t>you</w:t>
      </w:r>
      <w:proofErr w:type="spellEnd"/>
      <w:r w:rsidR="007B5C0A">
        <w:rPr>
          <w:rFonts w:ascii="Times New Roman" w:hAnsi="Times New Roman" w:cs="Times New Roman"/>
          <w:i/>
          <w:szCs w:val="26"/>
        </w:rPr>
        <w:t xml:space="preserve"> </w:t>
      </w:r>
      <w:r w:rsidR="00FD53EA">
        <w:rPr>
          <w:rFonts w:ascii="Times New Roman" w:hAnsi="Times New Roman" w:cs="Times New Roman"/>
          <w:szCs w:val="26"/>
        </w:rPr>
        <w:t xml:space="preserve">(Haas </w:t>
      </w:r>
      <w:r w:rsidR="007B5C0A">
        <w:rPr>
          <w:rFonts w:ascii="Times New Roman" w:hAnsi="Times New Roman" w:cs="Times New Roman"/>
          <w:szCs w:val="26"/>
        </w:rPr>
        <w:t xml:space="preserve">1982). </w:t>
      </w:r>
      <w:r w:rsidR="00992ACC">
        <w:rPr>
          <w:rFonts w:ascii="Times New Roman" w:hAnsi="Times New Roman" w:cs="Times New Roman"/>
          <w:szCs w:val="26"/>
        </w:rPr>
        <w:t>La communication humaine n’est en effet pas un exercice facile</w:t>
      </w:r>
      <w:r>
        <w:rPr>
          <w:rFonts w:ascii="Times New Roman" w:hAnsi="Times New Roman" w:cs="Times New Roman"/>
          <w:szCs w:val="26"/>
        </w:rPr>
        <w:t xml:space="preserve"> et peut à bien des égards mener</w:t>
      </w:r>
      <w:r w:rsidR="00992ACC">
        <w:rPr>
          <w:rFonts w:ascii="Times New Roman" w:hAnsi="Times New Roman" w:cs="Times New Roman"/>
          <w:szCs w:val="26"/>
        </w:rPr>
        <w:t xml:space="preserve"> à des malentendus. Reconnaître cette réalité et bien établir la signification des termes utilisés ne permet certes pas d</w:t>
      </w:r>
      <w:r>
        <w:rPr>
          <w:rFonts w:ascii="Times New Roman" w:hAnsi="Times New Roman" w:cs="Times New Roman"/>
          <w:szCs w:val="26"/>
        </w:rPr>
        <w:t xml:space="preserve">e </w:t>
      </w:r>
      <w:r w:rsidR="00272317">
        <w:rPr>
          <w:rFonts w:ascii="Times New Roman" w:hAnsi="Times New Roman" w:cs="Times New Roman"/>
          <w:szCs w:val="26"/>
        </w:rPr>
        <w:t>résoudre</w:t>
      </w:r>
      <w:r>
        <w:rPr>
          <w:rFonts w:ascii="Times New Roman" w:hAnsi="Times New Roman" w:cs="Times New Roman"/>
          <w:szCs w:val="26"/>
        </w:rPr>
        <w:t xml:space="preserve"> entièrement</w:t>
      </w:r>
      <w:r w:rsidR="00272317">
        <w:rPr>
          <w:rFonts w:ascii="Times New Roman" w:hAnsi="Times New Roman" w:cs="Times New Roman"/>
          <w:szCs w:val="26"/>
        </w:rPr>
        <w:t xml:space="preserve"> cette problématique, mais</w:t>
      </w:r>
      <w:r>
        <w:rPr>
          <w:rFonts w:ascii="Times New Roman" w:hAnsi="Times New Roman" w:cs="Times New Roman"/>
          <w:szCs w:val="26"/>
        </w:rPr>
        <w:t xml:space="preserve"> elle</w:t>
      </w:r>
      <w:r w:rsidR="00272317">
        <w:rPr>
          <w:rFonts w:ascii="Times New Roman" w:hAnsi="Times New Roman" w:cs="Times New Roman"/>
          <w:szCs w:val="26"/>
        </w:rPr>
        <w:t xml:space="preserve"> aide assurément à en li</w:t>
      </w:r>
      <w:r w:rsidR="00FD53EA">
        <w:rPr>
          <w:rFonts w:ascii="Times New Roman" w:hAnsi="Times New Roman" w:cs="Times New Roman"/>
          <w:szCs w:val="26"/>
        </w:rPr>
        <w:t>miter les effets négatifs (Haas</w:t>
      </w:r>
      <w:r w:rsidR="00272317">
        <w:rPr>
          <w:rFonts w:ascii="Times New Roman" w:hAnsi="Times New Roman" w:cs="Times New Roman"/>
          <w:szCs w:val="26"/>
        </w:rPr>
        <w:t xml:space="preserve"> 1982 : 243).</w:t>
      </w:r>
    </w:p>
    <w:p w14:paraId="76E9F8FA" w14:textId="5CF01283" w:rsidR="00992ACC" w:rsidRDefault="00992ACC" w:rsidP="00BA43F7">
      <w:pPr>
        <w:spacing w:before="120" w:after="120" w:line="360" w:lineRule="auto"/>
        <w:jc w:val="both"/>
        <w:rPr>
          <w:rFonts w:ascii="Times New Roman" w:hAnsi="Times New Roman" w:cs="Times New Roman"/>
          <w:szCs w:val="26"/>
        </w:rPr>
      </w:pPr>
      <w:r>
        <w:rPr>
          <w:rFonts w:ascii="Times New Roman" w:hAnsi="Times New Roman" w:cs="Times New Roman"/>
          <w:szCs w:val="26"/>
        </w:rPr>
        <w:t>Dans le c</w:t>
      </w:r>
      <w:r w:rsidR="00272317">
        <w:rPr>
          <w:rFonts w:ascii="Times New Roman" w:hAnsi="Times New Roman" w:cs="Times New Roman"/>
          <w:szCs w:val="26"/>
        </w:rPr>
        <w:t>adre de la présente recherche, cette reconnaissance semble particulièrement importante puisque la littérature</w:t>
      </w:r>
      <w:r w:rsidR="003609A7">
        <w:rPr>
          <w:rFonts w:ascii="Times New Roman" w:hAnsi="Times New Roman" w:cs="Times New Roman"/>
          <w:szCs w:val="26"/>
        </w:rPr>
        <w:t xml:space="preserve"> scientifique</w:t>
      </w:r>
      <w:r w:rsidR="00272317">
        <w:rPr>
          <w:rFonts w:ascii="Times New Roman" w:hAnsi="Times New Roman" w:cs="Times New Roman"/>
          <w:szCs w:val="26"/>
        </w:rPr>
        <w:t xml:space="preserve"> </w:t>
      </w:r>
      <w:r w:rsidR="003609A7">
        <w:rPr>
          <w:rFonts w:ascii="Times New Roman" w:hAnsi="Times New Roman" w:cs="Times New Roman"/>
          <w:szCs w:val="26"/>
        </w:rPr>
        <w:t>utilisée pour établir le cadre théorique</w:t>
      </w:r>
      <w:r w:rsidR="00BA2CCF">
        <w:rPr>
          <w:rFonts w:ascii="Times New Roman" w:hAnsi="Times New Roman" w:cs="Times New Roman"/>
          <w:szCs w:val="26"/>
        </w:rPr>
        <w:t xml:space="preserve"> </w:t>
      </w:r>
      <w:r w:rsidR="00A53EF4">
        <w:rPr>
          <w:rFonts w:ascii="Times New Roman" w:hAnsi="Times New Roman" w:cs="Times New Roman"/>
          <w:szCs w:val="26"/>
        </w:rPr>
        <w:t xml:space="preserve">introduit plusieurs </w:t>
      </w:r>
      <w:r w:rsidR="00272317">
        <w:rPr>
          <w:rFonts w:ascii="Times New Roman" w:hAnsi="Times New Roman" w:cs="Times New Roman"/>
          <w:szCs w:val="26"/>
        </w:rPr>
        <w:t xml:space="preserve">concepts dont la signification peut aisément devenir ambigüe : institution, forum, système, régime, </w:t>
      </w:r>
      <w:r w:rsidR="00A53EF4">
        <w:rPr>
          <w:rFonts w:ascii="Times New Roman" w:hAnsi="Times New Roman" w:cs="Times New Roman"/>
          <w:szCs w:val="26"/>
        </w:rPr>
        <w:t xml:space="preserve">complexe, acteur, norme, règle, etc. Cette réflexion, loin d’être purement théorique a des conséquences concrètes </w:t>
      </w:r>
      <w:r w:rsidR="00DF77FB">
        <w:rPr>
          <w:rFonts w:ascii="Times New Roman" w:hAnsi="Times New Roman" w:cs="Times New Roman"/>
          <w:szCs w:val="26"/>
        </w:rPr>
        <w:t>puisqu</w:t>
      </w:r>
      <w:r w:rsidR="00F23EED">
        <w:rPr>
          <w:rFonts w:ascii="Times New Roman" w:hAnsi="Times New Roman" w:cs="Times New Roman"/>
          <w:szCs w:val="26"/>
        </w:rPr>
        <w:t>’il est attendu que leur</w:t>
      </w:r>
      <w:r w:rsidR="00DF77FB">
        <w:rPr>
          <w:rFonts w:ascii="Times New Roman" w:hAnsi="Times New Roman" w:cs="Times New Roman"/>
          <w:szCs w:val="26"/>
        </w:rPr>
        <w:t xml:space="preserve"> bonne qualification permettra de dégager les outils analytiques nécessaires </w:t>
      </w:r>
      <w:r w:rsidR="00F23EED">
        <w:rPr>
          <w:rFonts w:ascii="Times New Roman" w:hAnsi="Times New Roman" w:cs="Times New Roman"/>
          <w:szCs w:val="26"/>
        </w:rPr>
        <w:t xml:space="preserve">afin de </w:t>
      </w:r>
      <w:r w:rsidR="00DF77FB">
        <w:rPr>
          <w:rFonts w:ascii="Times New Roman" w:hAnsi="Times New Roman" w:cs="Times New Roman"/>
          <w:szCs w:val="26"/>
        </w:rPr>
        <w:t>contribuer à mieux comprendre l’évolution du droit international des investissements. Ceci dit,</w:t>
      </w:r>
      <w:r w:rsidR="00F23EED">
        <w:rPr>
          <w:rFonts w:ascii="Times New Roman" w:hAnsi="Times New Roman" w:cs="Times New Roman"/>
          <w:szCs w:val="26"/>
        </w:rPr>
        <w:t xml:space="preserve"> elle a aussi un intérêt</w:t>
      </w:r>
      <w:r w:rsidR="00DF77FB">
        <w:rPr>
          <w:rFonts w:ascii="Times New Roman" w:hAnsi="Times New Roman" w:cs="Times New Roman"/>
          <w:szCs w:val="26"/>
        </w:rPr>
        <w:t xml:space="preserve"> d’</w:t>
      </w:r>
      <w:r w:rsidR="00F23EED">
        <w:rPr>
          <w:rFonts w:ascii="Times New Roman" w:hAnsi="Times New Roman" w:cs="Times New Roman"/>
          <w:szCs w:val="26"/>
        </w:rPr>
        <w:t>un point</w:t>
      </w:r>
      <w:r w:rsidR="00562027">
        <w:rPr>
          <w:rFonts w:ascii="Times New Roman" w:hAnsi="Times New Roman" w:cs="Times New Roman"/>
          <w:szCs w:val="26"/>
        </w:rPr>
        <w:t xml:space="preserve"> de vue</w:t>
      </w:r>
      <w:r w:rsidR="00F23EED">
        <w:rPr>
          <w:rFonts w:ascii="Times New Roman" w:hAnsi="Times New Roman" w:cs="Times New Roman"/>
          <w:szCs w:val="26"/>
        </w:rPr>
        <w:t xml:space="preserve"> théorique puisqu’</w:t>
      </w:r>
      <w:r w:rsidR="00DF77FB">
        <w:rPr>
          <w:rFonts w:ascii="Times New Roman" w:hAnsi="Times New Roman" w:cs="Times New Roman"/>
          <w:szCs w:val="26"/>
        </w:rPr>
        <w:t>elle</w:t>
      </w:r>
      <w:r w:rsidR="00F23EED">
        <w:rPr>
          <w:rFonts w:ascii="Times New Roman" w:hAnsi="Times New Roman" w:cs="Times New Roman"/>
          <w:szCs w:val="26"/>
        </w:rPr>
        <w:t xml:space="preserve"> tentera bien évidemment de venir compléter les récents travaux utilisant la théorie des complexes de régime.</w:t>
      </w:r>
      <w:r w:rsidR="00DA0684">
        <w:rPr>
          <w:rFonts w:ascii="Times New Roman" w:hAnsi="Times New Roman" w:cs="Times New Roman"/>
          <w:szCs w:val="26"/>
        </w:rPr>
        <w:t xml:space="preserve"> Les deux prochaines sous-sections viendront ainsi définir les concepts</w:t>
      </w:r>
      <w:r w:rsidR="00FD52AF">
        <w:rPr>
          <w:rFonts w:ascii="Times New Roman" w:hAnsi="Times New Roman" w:cs="Times New Roman"/>
          <w:szCs w:val="26"/>
        </w:rPr>
        <w:t xml:space="preserve"> utilisés ainsi que leurs implications</w:t>
      </w:r>
      <w:r w:rsidR="00DA0684">
        <w:rPr>
          <w:rFonts w:ascii="Times New Roman" w:hAnsi="Times New Roman" w:cs="Times New Roman"/>
          <w:szCs w:val="26"/>
        </w:rPr>
        <w:t>.</w:t>
      </w:r>
      <w:r w:rsidR="00FD52AF">
        <w:rPr>
          <w:rFonts w:ascii="Times New Roman" w:hAnsi="Times New Roman" w:cs="Times New Roman"/>
          <w:szCs w:val="26"/>
        </w:rPr>
        <w:t xml:space="preserve"> </w:t>
      </w:r>
    </w:p>
    <w:p w14:paraId="2BF2EAAF" w14:textId="14E58A77" w:rsidR="00DA0684" w:rsidRPr="006A5780" w:rsidRDefault="00DA0684" w:rsidP="00BA43F7">
      <w:pPr>
        <w:pStyle w:val="Titre2"/>
        <w:spacing w:before="120" w:after="120"/>
        <w:rPr>
          <w:rFonts w:ascii="Times New Roman" w:hAnsi="Times New Roman" w:cs="Times New Roman"/>
          <w:color w:val="auto"/>
          <w:u w:val="single"/>
        </w:rPr>
      </w:pPr>
      <w:bookmarkStart w:id="2" w:name="_Toc313471454"/>
      <w:r w:rsidRPr="006A5780">
        <w:rPr>
          <w:rFonts w:ascii="Times New Roman" w:hAnsi="Times New Roman" w:cs="Times New Roman"/>
          <w:color w:val="auto"/>
          <w:u w:val="single"/>
        </w:rPr>
        <w:t>2.1 Un régime</w:t>
      </w:r>
      <w:r w:rsidR="00D0097D" w:rsidRPr="006A5780">
        <w:rPr>
          <w:rFonts w:ascii="Times New Roman" w:hAnsi="Times New Roman" w:cs="Times New Roman"/>
          <w:color w:val="auto"/>
          <w:u w:val="single"/>
        </w:rPr>
        <w:t xml:space="preserve">, un complexe, des </w:t>
      </w:r>
      <w:r w:rsidR="00562027" w:rsidRPr="006A5780">
        <w:rPr>
          <w:rFonts w:ascii="Times New Roman" w:hAnsi="Times New Roman" w:cs="Times New Roman"/>
          <w:color w:val="auto"/>
          <w:u w:val="single"/>
        </w:rPr>
        <w:t>institutions</w:t>
      </w:r>
      <w:r w:rsidR="00D0097D" w:rsidRPr="006A5780">
        <w:rPr>
          <w:rFonts w:ascii="Times New Roman" w:hAnsi="Times New Roman" w:cs="Times New Roman"/>
          <w:color w:val="auto"/>
          <w:u w:val="single"/>
        </w:rPr>
        <w:t>, mais de quoi parle-t-on ?</w:t>
      </w:r>
      <w:bookmarkEnd w:id="2"/>
    </w:p>
    <w:p w14:paraId="483AC17B" w14:textId="1258A8AC" w:rsidR="006A5B66" w:rsidRPr="00F73959" w:rsidRDefault="00DA0684" w:rsidP="00BA43F7">
      <w:pPr>
        <w:spacing w:before="120" w:after="120" w:line="360" w:lineRule="auto"/>
        <w:jc w:val="both"/>
        <w:rPr>
          <w:rFonts w:ascii="Times New Roman" w:hAnsi="Times New Roman" w:cs="Times New Roman"/>
          <w:szCs w:val="26"/>
        </w:rPr>
      </w:pPr>
      <w:r>
        <w:rPr>
          <w:rFonts w:ascii="Times New Roman" w:hAnsi="Times New Roman" w:cs="Times New Roman"/>
          <w:szCs w:val="26"/>
        </w:rPr>
        <w:t>La th</w:t>
      </w:r>
      <w:r w:rsidR="00BA2CCF">
        <w:rPr>
          <w:rFonts w:ascii="Times New Roman" w:hAnsi="Times New Roman" w:cs="Times New Roman"/>
          <w:szCs w:val="26"/>
        </w:rPr>
        <w:t xml:space="preserve">éorie des complexes de régime, </w:t>
      </w:r>
      <w:r>
        <w:rPr>
          <w:rFonts w:ascii="Times New Roman" w:hAnsi="Times New Roman" w:cs="Times New Roman"/>
          <w:szCs w:val="26"/>
        </w:rPr>
        <w:t xml:space="preserve">initialement </w:t>
      </w:r>
      <w:r w:rsidR="00BA2CCF">
        <w:rPr>
          <w:rFonts w:ascii="Times New Roman" w:hAnsi="Times New Roman" w:cs="Times New Roman"/>
          <w:szCs w:val="26"/>
        </w:rPr>
        <w:t>présentée</w:t>
      </w:r>
      <w:r>
        <w:rPr>
          <w:rFonts w:ascii="Times New Roman" w:hAnsi="Times New Roman" w:cs="Times New Roman"/>
          <w:szCs w:val="26"/>
        </w:rPr>
        <w:t xml:space="preserve"> </w:t>
      </w:r>
      <w:r w:rsidR="00BA2CCF">
        <w:rPr>
          <w:rFonts w:ascii="Times New Roman" w:hAnsi="Times New Roman" w:cs="Times New Roman"/>
          <w:szCs w:val="26"/>
        </w:rPr>
        <w:t xml:space="preserve">en 2004 </w:t>
      </w:r>
      <w:r>
        <w:rPr>
          <w:rFonts w:ascii="Times New Roman" w:hAnsi="Times New Roman" w:cs="Times New Roman"/>
          <w:szCs w:val="26"/>
        </w:rPr>
        <w:t xml:space="preserve">par </w:t>
      </w:r>
      <w:proofErr w:type="spellStart"/>
      <w:r>
        <w:rPr>
          <w:rFonts w:ascii="Times New Roman" w:hAnsi="Times New Roman" w:cs="Times New Roman"/>
          <w:szCs w:val="26"/>
        </w:rPr>
        <w:t>Raustiala</w:t>
      </w:r>
      <w:proofErr w:type="spellEnd"/>
      <w:r>
        <w:rPr>
          <w:rFonts w:ascii="Times New Roman" w:hAnsi="Times New Roman" w:cs="Times New Roman"/>
          <w:szCs w:val="26"/>
        </w:rPr>
        <w:t xml:space="preserve"> et Victor</w:t>
      </w:r>
      <w:r w:rsidR="00CF2A7E">
        <w:rPr>
          <w:rFonts w:ascii="Times New Roman" w:hAnsi="Times New Roman" w:cs="Times New Roman"/>
          <w:szCs w:val="26"/>
        </w:rPr>
        <w:t>,</w:t>
      </w:r>
      <w:r>
        <w:rPr>
          <w:rFonts w:ascii="Times New Roman" w:hAnsi="Times New Roman" w:cs="Times New Roman"/>
          <w:szCs w:val="26"/>
        </w:rPr>
        <w:t xml:space="preserve"> </w:t>
      </w:r>
      <w:r w:rsidR="00CF2A7E">
        <w:rPr>
          <w:rFonts w:ascii="Times New Roman" w:hAnsi="Times New Roman" w:cs="Times New Roman"/>
          <w:szCs w:val="26"/>
        </w:rPr>
        <w:t xml:space="preserve">a </w:t>
      </w:r>
      <w:r w:rsidR="00F31998">
        <w:rPr>
          <w:rFonts w:ascii="Times New Roman" w:hAnsi="Times New Roman" w:cs="Times New Roman"/>
          <w:szCs w:val="26"/>
        </w:rPr>
        <w:t xml:space="preserve">principalement </w:t>
      </w:r>
      <w:r w:rsidR="00CF2A7E">
        <w:rPr>
          <w:rFonts w:ascii="Times New Roman" w:hAnsi="Times New Roman" w:cs="Times New Roman"/>
          <w:szCs w:val="26"/>
        </w:rPr>
        <w:t>pour but d’améliorer l’analyse</w:t>
      </w:r>
      <w:r>
        <w:rPr>
          <w:rFonts w:ascii="Times New Roman" w:hAnsi="Times New Roman" w:cs="Times New Roman"/>
          <w:szCs w:val="26"/>
        </w:rPr>
        <w:t xml:space="preserve">  de la</w:t>
      </w:r>
      <w:r w:rsidR="003609A7">
        <w:rPr>
          <w:rFonts w:ascii="Times New Roman" w:hAnsi="Times New Roman" w:cs="Times New Roman"/>
          <w:szCs w:val="26"/>
        </w:rPr>
        <w:t xml:space="preserve"> coopération et de la</w:t>
      </w:r>
      <w:r>
        <w:rPr>
          <w:rFonts w:ascii="Times New Roman" w:hAnsi="Times New Roman" w:cs="Times New Roman"/>
          <w:szCs w:val="26"/>
        </w:rPr>
        <w:t xml:space="preserve"> gouvernance internationale</w:t>
      </w:r>
      <w:r w:rsidR="00CF2A7E">
        <w:rPr>
          <w:rFonts w:ascii="Times New Roman" w:hAnsi="Times New Roman" w:cs="Times New Roman"/>
          <w:szCs w:val="26"/>
        </w:rPr>
        <w:t>. Dans l</w:t>
      </w:r>
      <w:r>
        <w:rPr>
          <w:rFonts w:ascii="Times New Roman" w:hAnsi="Times New Roman" w:cs="Times New Roman"/>
          <w:szCs w:val="26"/>
        </w:rPr>
        <w:t>eur article</w:t>
      </w:r>
      <w:r w:rsidR="00CF2A7E">
        <w:rPr>
          <w:rFonts w:ascii="Times New Roman" w:hAnsi="Times New Roman" w:cs="Times New Roman"/>
          <w:szCs w:val="26"/>
        </w:rPr>
        <w:t xml:space="preserve"> </w:t>
      </w:r>
      <w:r w:rsidR="00CF2A7E" w:rsidRPr="00F73959">
        <w:rPr>
          <w:rFonts w:ascii="Times New Roman" w:hAnsi="Times New Roman" w:cs="Times New Roman"/>
          <w:szCs w:val="26"/>
        </w:rPr>
        <w:t>sur le</w:t>
      </w:r>
      <w:r w:rsidR="003609A7">
        <w:rPr>
          <w:rFonts w:ascii="Times New Roman" w:hAnsi="Times New Roman" w:cs="Times New Roman"/>
          <w:szCs w:val="26"/>
        </w:rPr>
        <w:t xml:space="preserve">s ressources </w:t>
      </w:r>
      <w:proofErr w:type="spellStart"/>
      <w:r w:rsidR="003609A7">
        <w:rPr>
          <w:rFonts w:ascii="Times New Roman" w:hAnsi="Times New Roman" w:cs="Times New Roman"/>
          <w:szCs w:val="26"/>
        </w:rPr>
        <w:t>phytogénétiques</w:t>
      </w:r>
      <w:proofErr w:type="spellEnd"/>
      <w:r w:rsidR="003609A7">
        <w:rPr>
          <w:rFonts w:ascii="Times New Roman" w:hAnsi="Times New Roman" w:cs="Times New Roman"/>
          <w:szCs w:val="26"/>
        </w:rPr>
        <w:t>, ces deux chercheurs</w:t>
      </w:r>
      <w:r w:rsidR="00CF2A7E" w:rsidRPr="00F73959">
        <w:rPr>
          <w:rFonts w:ascii="Times New Roman" w:hAnsi="Times New Roman" w:cs="Times New Roman"/>
          <w:szCs w:val="26"/>
        </w:rPr>
        <w:t xml:space="preserve"> propose</w:t>
      </w:r>
      <w:r w:rsidR="00F31998" w:rsidRPr="00F73959">
        <w:rPr>
          <w:rFonts w:ascii="Times New Roman" w:hAnsi="Times New Roman" w:cs="Times New Roman"/>
          <w:szCs w:val="26"/>
        </w:rPr>
        <w:t>nt</w:t>
      </w:r>
      <w:r w:rsidR="00CF2A7E" w:rsidRPr="00F73959">
        <w:rPr>
          <w:rFonts w:ascii="Times New Roman" w:hAnsi="Times New Roman" w:cs="Times New Roman"/>
          <w:szCs w:val="26"/>
        </w:rPr>
        <w:t xml:space="preserve"> de perce</w:t>
      </w:r>
      <w:r w:rsidR="0028496B" w:rsidRPr="00F73959">
        <w:rPr>
          <w:rFonts w:ascii="Times New Roman" w:hAnsi="Times New Roman" w:cs="Times New Roman"/>
          <w:szCs w:val="26"/>
        </w:rPr>
        <w:t xml:space="preserve">voir que plusieurs régimes </w:t>
      </w:r>
      <w:r w:rsidR="00CF2A7E" w:rsidRPr="00F73959">
        <w:rPr>
          <w:rFonts w:ascii="Times New Roman" w:hAnsi="Times New Roman" w:cs="Times New Roman"/>
          <w:szCs w:val="26"/>
        </w:rPr>
        <w:t>peuvent traiter d’une même question. Une telle approche</w:t>
      </w:r>
      <w:r w:rsidRPr="00F73959">
        <w:rPr>
          <w:rFonts w:ascii="Times New Roman" w:hAnsi="Times New Roman" w:cs="Times New Roman"/>
          <w:szCs w:val="26"/>
        </w:rPr>
        <w:t xml:space="preserve"> était à l’époque assez innovant</w:t>
      </w:r>
      <w:r w:rsidR="00CF2A7E" w:rsidRPr="00F73959">
        <w:rPr>
          <w:rFonts w:ascii="Times New Roman" w:hAnsi="Times New Roman" w:cs="Times New Roman"/>
          <w:szCs w:val="26"/>
        </w:rPr>
        <w:t>e</w:t>
      </w:r>
      <w:r w:rsidRPr="00F73959">
        <w:rPr>
          <w:rFonts w:ascii="Times New Roman" w:hAnsi="Times New Roman" w:cs="Times New Roman"/>
          <w:szCs w:val="26"/>
        </w:rPr>
        <w:t xml:space="preserve"> puisque la majorité des études</w:t>
      </w:r>
      <w:r w:rsidR="00CF2A7E" w:rsidRPr="00F73959">
        <w:rPr>
          <w:rFonts w:ascii="Times New Roman" w:hAnsi="Times New Roman" w:cs="Times New Roman"/>
          <w:szCs w:val="26"/>
        </w:rPr>
        <w:t xml:space="preserve"> sur la gouvernance internationale se concentrait </w:t>
      </w:r>
      <w:r w:rsidR="00F31998" w:rsidRPr="00F73959">
        <w:rPr>
          <w:rFonts w:ascii="Times New Roman" w:hAnsi="Times New Roman" w:cs="Times New Roman"/>
          <w:szCs w:val="26"/>
        </w:rPr>
        <w:t xml:space="preserve">alors </w:t>
      </w:r>
      <w:r w:rsidR="00CF2A7E" w:rsidRPr="00F73959">
        <w:rPr>
          <w:rFonts w:ascii="Times New Roman" w:hAnsi="Times New Roman" w:cs="Times New Roman"/>
          <w:szCs w:val="26"/>
        </w:rPr>
        <w:t>sur des questions en lien avec l’origine</w:t>
      </w:r>
      <w:r w:rsidRPr="00F73959">
        <w:rPr>
          <w:rFonts w:ascii="Times New Roman" w:hAnsi="Times New Roman" w:cs="Times New Roman"/>
          <w:szCs w:val="26"/>
        </w:rPr>
        <w:t>, l’</w:t>
      </w:r>
      <w:r w:rsidR="00CF2A7E" w:rsidRPr="00F73959">
        <w:rPr>
          <w:rFonts w:ascii="Times New Roman" w:hAnsi="Times New Roman" w:cs="Times New Roman"/>
          <w:szCs w:val="26"/>
        </w:rPr>
        <w:t xml:space="preserve">évolution ou l’impact </w:t>
      </w:r>
      <w:r w:rsidRPr="00F73959">
        <w:rPr>
          <w:rFonts w:ascii="Times New Roman" w:hAnsi="Times New Roman" w:cs="Times New Roman"/>
          <w:szCs w:val="26"/>
        </w:rPr>
        <w:t xml:space="preserve">d’un régime </w:t>
      </w:r>
      <w:r w:rsidR="003609A7">
        <w:rPr>
          <w:rFonts w:ascii="Times New Roman" w:hAnsi="Times New Roman" w:cs="Times New Roman"/>
          <w:szCs w:val="26"/>
        </w:rPr>
        <w:t>traitant d’</w:t>
      </w:r>
      <w:r w:rsidR="00CF2A7E" w:rsidRPr="00F73959">
        <w:rPr>
          <w:rFonts w:ascii="Times New Roman" w:hAnsi="Times New Roman" w:cs="Times New Roman"/>
          <w:szCs w:val="26"/>
        </w:rPr>
        <w:t xml:space="preserve">un </w:t>
      </w:r>
      <w:r w:rsidRPr="00F73959">
        <w:rPr>
          <w:rFonts w:ascii="Times New Roman" w:hAnsi="Times New Roman" w:cs="Times New Roman"/>
          <w:szCs w:val="26"/>
        </w:rPr>
        <w:t>seul domaine</w:t>
      </w:r>
      <w:r w:rsidR="00BA2CCF" w:rsidRPr="00F73959">
        <w:rPr>
          <w:rFonts w:ascii="Times New Roman" w:hAnsi="Times New Roman" w:cs="Times New Roman"/>
          <w:szCs w:val="26"/>
        </w:rPr>
        <w:t xml:space="preserve"> </w:t>
      </w:r>
      <w:r w:rsidR="003609A7">
        <w:rPr>
          <w:rFonts w:ascii="Times New Roman" w:hAnsi="Times New Roman" w:cs="Times New Roman"/>
          <w:szCs w:val="26"/>
        </w:rPr>
        <w:t xml:space="preserve">ou sujet </w:t>
      </w:r>
      <w:r w:rsidR="00BA2CCF" w:rsidRPr="00F73959">
        <w:rPr>
          <w:rFonts w:ascii="Times New Roman" w:hAnsi="Times New Roman" w:cs="Times New Roman"/>
          <w:szCs w:val="26"/>
        </w:rPr>
        <w:t>des relations internationales</w:t>
      </w:r>
      <w:r w:rsidR="00DE067A">
        <w:rPr>
          <w:rFonts w:ascii="Times New Roman" w:hAnsi="Times New Roman" w:cs="Times New Roman"/>
          <w:szCs w:val="26"/>
        </w:rPr>
        <w:t xml:space="preserve"> (</w:t>
      </w:r>
      <w:proofErr w:type="spellStart"/>
      <w:r w:rsidR="00DE067A">
        <w:rPr>
          <w:rFonts w:ascii="Times New Roman" w:hAnsi="Times New Roman" w:cs="Times New Roman"/>
          <w:szCs w:val="26"/>
        </w:rPr>
        <w:t>Raustiala</w:t>
      </w:r>
      <w:proofErr w:type="spellEnd"/>
      <w:r w:rsidR="00DE067A">
        <w:rPr>
          <w:rFonts w:ascii="Times New Roman" w:hAnsi="Times New Roman" w:cs="Times New Roman"/>
          <w:szCs w:val="26"/>
        </w:rPr>
        <w:t xml:space="preserve"> et</w:t>
      </w:r>
      <w:r w:rsidRPr="00F73959">
        <w:rPr>
          <w:rFonts w:ascii="Times New Roman" w:hAnsi="Times New Roman" w:cs="Times New Roman"/>
          <w:szCs w:val="26"/>
        </w:rPr>
        <w:t xml:space="preserve"> </w:t>
      </w:r>
      <w:r w:rsidR="00DE067A">
        <w:rPr>
          <w:rFonts w:ascii="Times New Roman" w:hAnsi="Times New Roman" w:cs="Times New Roman"/>
          <w:szCs w:val="26"/>
        </w:rPr>
        <w:t>Victor</w:t>
      </w:r>
      <w:r w:rsidR="00FD53EA">
        <w:rPr>
          <w:rFonts w:ascii="Times New Roman" w:hAnsi="Times New Roman" w:cs="Times New Roman"/>
          <w:szCs w:val="26"/>
        </w:rPr>
        <w:t xml:space="preserve"> </w:t>
      </w:r>
      <w:r w:rsidRPr="00F73959">
        <w:rPr>
          <w:rFonts w:ascii="Times New Roman" w:hAnsi="Times New Roman" w:cs="Times New Roman"/>
          <w:szCs w:val="26"/>
        </w:rPr>
        <w:t>2004 : 278).</w:t>
      </w:r>
      <w:r w:rsidR="00BA2CCF" w:rsidRPr="00F73959">
        <w:rPr>
          <w:rFonts w:ascii="Times New Roman" w:hAnsi="Times New Roman" w:cs="Times New Roman"/>
          <w:szCs w:val="26"/>
        </w:rPr>
        <w:t xml:space="preserve"> </w:t>
      </w:r>
    </w:p>
    <w:p w14:paraId="7D97C148" w14:textId="5781FC8D" w:rsidR="00F73959" w:rsidRDefault="00092815" w:rsidP="00BA43F7">
      <w:pPr>
        <w:spacing w:before="120" w:after="120" w:line="360" w:lineRule="auto"/>
        <w:jc w:val="both"/>
        <w:rPr>
          <w:rFonts w:ascii="Times New Roman" w:hAnsi="Times New Roman" w:cs="Times New Roman"/>
        </w:rPr>
      </w:pPr>
      <w:r>
        <w:rPr>
          <w:rFonts w:ascii="Times New Roman" w:hAnsi="Times New Roman" w:cs="Times New Roman"/>
          <w:szCs w:val="26"/>
        </w:rPr>
        <w:t>Une précision s’impose :</w:t>
      </w:r>
      <w:r w:rsidR="004445FE" w:rsidRPr="00F73959">
        <w:rPr>
          <w:rFonts w:ascii="Times New Roman" w:hAnsi="Times New Roman" w:cs="Times New Roman"/>
          <w:szCs w:val="26"/>
        </w:rPr>
        <w:t xml:space="preserve"> u</w:t>
      </w:r>
      <w:r w:rsidR="00F31998" w:rsidRPr="00F73959">
        <w:rPr>
          <w:rFonts w:ascii="Times New Roman" w:hAnsi="Times New Roman" w:cs="Times New Roman"/>
          <w:szCs w:val="26"/>
        </w:rPr>
        <w:t xml:space="preserve">n régime </w:t>
      </w:r>
      <w:r w:rsidR="004445FE" w:rsidRPr="00F73959">
        <w:rPr>
          <w:rFonts w:ascii="Times New Roman" w:hAnsi="Times New Roman" w:cs="Times New Roman"/>
          <w:szCs w:val="26"/>
        </w:rPr>
        <w:t xml:space="preserve">est généralement défini comme </w:t>
      </w:r>
      <w:r w:rsidR="0028496B" w:rsidRPr="00F73959">
        <w:rPr>
          <w:rFonts w:ascii="Times New Roman" w:hAnsi="Times New Roman" w:cs="Times New Roman"/>
          <w:szCs w:val="26"/>
        </w:rPr>
        <w:t xml:space="preserve">un ensemble de principes, normes, règles et procédures de décisions explicites ou implicites autour duquel les attentes des acteurs internationaux convergent </w:t>
      </w:r>
      <w:r w:rsidR="00400766">
        <w:rPr>
          <w:rFonts w:ascii="Times New Roman" w:hAnsi="Times New Roman" w:cs="Times New Roman"/>
          <w:szCs w:val="26"/>
        </w:rPr>
        <w:t xml:space="preserve">à propos </w:t>
      </w:r>
      <w:r w:rsidR="004445FE" w:rsidRPr="00F73959">
        <w:rPr>
          <w:rFonts w:ascii="Times New Roman" w:hAnsi="Times New Roman" w:cs="Times New Roman"/>
          <w:szCs w:val="26"/>
        </w:rPr>
        <w:t>d’un sujet</w:t>
      </w:r>
      <w:r w:rsidR="0028496B" w:rsidRPr="00F73959">
        <w:rPr>
          <w:rFonts w:ascii="Times New Roman" w:hAnsi="Times New Roman" w:cs="Times New Roman"/>
          <w:szCs w:val="26"/>
        </w:rPr>
        <w:t xml:space="preserve"> donné (</w:t>
      </w:r>
      <w:proofErr w:type="spellStart"/>
      <w:r w:rsidR="00FD53EA">
        <w:rPr>
          <w:rFonts w:ascii="Times New Roman" w:hAnsi="Times New Roman" w:cs="Times New Roman"/>
          <w:szCs w:val="26"/>
        </w:rPr>
        <w:t>Krasner</w:t>
      </w:r>
      <w:proofErr w:type="spellEnd"/>
      <w:r w:rsidR="004445FE" w:rsidRPr="00F73959">
        <w:rPr>
          <w:rFonts w:ascii="Times New Roman" w:hAnsi="Times New Roman" w:cs="Times New Roman"/>
          <w:szCs w:val="26"/>
        </w:rPr>
        <w:t xml:space="preserve"> </w:t>
      </w:r>
      <w:r w:rsidR="0028496B" w:rsidRPr="00F73959">
        <w:rPr>
          <w:rFonts w:ascii="Times New Roman" w:hAnsi="Times New Roman" w:cs="Times New Roman"/>
          <w:szCs w:val="26"/>
        </w:rPr>
        <w:t xml:space="preserve">1982 : 186). </w:t>
      </w:r>
      <w:r w:rsidR="004445FE" w:rsidRPr="00F73959">
        <w:rPr>
          <w:rFonts w:ascii="Times New Roman" w:hAnsi="Times New Roman" w:cs="Times New Roman"/>
          <w:szCs w:val="26"/>
        </w:rPr>
        <w:t>Cette définition, bien qu</w:t>
      </w:r>
      <w:r w:rsidR="003609A7">
        <w:rPr>
          <w:rFonts w:ascii="Times New Roman" w:hAnsi="Times New Roman" w:cs="Times New Roman"/>
          <w:szCs w:val="26"/>
        </w:rPr>
        <w:t>e très répandue, n’élimine malheureusement</w:t>
      </w:r>
      <w:r w:rsidR="004445FE" w:rsidRPr="00F73959">
        <w:rPr>
          <w:rFonts w:ascii="Times New Roman" w:hAnsi="Times New Roman" w:cs="Times New Roman"/>
          <w:szCs w:val="26"/>
        </w:rPr>
        <w:t xml:space="preserve"> pas toute </w:t>
      </w:r>
      <w:proofErr w:type="spellStart"/>
      <w:r w:rsidR="004445FE" w:rsidRPr="00F73959">
        <w:rPr>
          <w:rFonts w:ascii="Times New Roman" w:hAnsi="Times New Roman" w:cs="Times New Roman"/>
          <w:szCs w:val="26"/>
        </w:rPr>
        <w:t>ambiguïté</w:t>
      </w:r>
      <w:proofErr w:type="spellEnd"/>
      <w:r w:rsidR="003609A7">
        <w:rPr>
          <w:rFonts w:ascii="Times New Roman" w:hAnsi="Times New Roman" w:cs="Times New Roman"/>
          <w:szCs w:val="26"/>
        </w:rPr>
        <w:t xml:space="preserve"> et demeure relativement vague</w:t>
      </w:r>
      <w:r w:rsidR="004445FE" w:rsidRPr="00F73959">
        <w:rPr>
          <w:rFonts w:ascii="Times New Roman" w:hAnsi="Times New Roman" w:cs="Times New Roman"/>
          <w:szCs w:val="26"/>
        </w:rPr>
        <w:t xml:space="preserve">. Il est à noter </w:t>
      </w:r>
      <w:r>
        <w:rPr>
          <w:rFonts w:ascii="Times New Roman" w:hAnsi="Times New Roman" w:cs="Times New Roman"/>
          <w:szCs w:val="26"/>
        </w:rPr>
        <w:t>qu’elle fut d’ailleurs proposée</w:t>
      </w:r>
      <w:r w:rsidR="00417129">
        <w:rPr>
          <w:rFonts w:ascii="Times New Roman" w:hAnsi="Times New Roman" w:cs="Times New Roman"/>
          <w:szCs w:val="26"/>
        </w:rPr>
        <w:t xml:space="preserve"> </w:t>
      </w:r>
      <w:r w:rsidR="004445FE" w:rsidRPr="00F73959">
        <w:rPr>
          <w:rFonts w:ascii="Times New Roman" w:hAnsi="Times New Roman" w:cs="Times New Roman"/>
          <w:szCs w:val="26"/>
        </w:rPr>
        <w:t>en introduction</w:t>
      </w:r>
      <w:r w:rsidR="00417129">
        <w:rPr>
          <w:rFonts w:ascii="Times New Roman" w:hAnsi="Times New Roman" w:cs="Times New Roman"/>
          <w:szCs w:val="26"/>
        </w:rPr>
        <w:t xml:space="preserve"> </w:t>
      </w:r>
      <w:r w:rsidR="004445FE" w:rsidRPr="00F73959">
        <w:rPr>
          <w:rFonts w:ascii="Times New Roman" w:hAnsi="Times New Roman" w:cs="Times New Roman"/>
          <w:szCs w:val="26"/>
        </w:rPr>
        <w:t xml:space="preserve">d’un numéro spécial de la revue </w:t>
      </w:r>
      <w:r w:rsidR="004445FE" w:rsidRPr="00F73959">
        <w:rPr>
          <w:rFonts w:ascii="Times New Roman" w:hAnsi="Times New Roman" w:cs="Times New Roman"/>
          <w:i/>
          <w:szCs w:val="26"/>
        </w:rPr>
        <w:t xml:space="preserve">International </w:t>
      </w:r>
      <w:proofErr w:type="spellStart"/>
      <w:r w:rsidR="004445FE" w:rsidRPr="00F73959">
        <w:rPr>
          <w:rFonts w:ascii="Times New Roman" w:hAnsi="Times New Roman" w:cs="Times New Roman"/>
          <w:i/>
          <w:szCs w:val="26"/>
        </w:rPr>
        <w:t>Organization</w:t>
      </w:r>
      <w:proofErr w:type="spellEnd"/>
      <w:r>
        <w:rPr>
          <w:rFonts w:ascii="Times New Roman" w:hAnsi="Times New Roman" w:cs="Times New Roman"/>
        </w:rPr>
        <w:t xml:space="preserve"> en 1982 dans le</w:t>
      </w:r>
      <w:r w:rsidR="004445FE" w:rsidRPr="00F73959">
        <w:rPr>
          <w:rFonts w:ascii="Times New Roman" w:hAnsi="Times New Roman" w:cs="Times New Roman"/>
        </w:rPr>
        <w:t xml:space="preserve">quel tous les auteurs ne </w:t>
      </w:r>
      <w:r w:rsidR="004445FE" w:rsidRPr="00F73959">
        <w:rPr>
          <w:rFonts w:ascii="Times New Roman" w:hAnsi="Times New Roman" w:cs="Times New Roman"/>
        </w:rPr>
        <w:lastRenderedPageBreak/>
        <w:t>s’entendaient pas sur le sens exact à do</w:t>
      </w:r>
      <w:r>
        <w:rPr>
          <w:rFonts w:ascii="Times New Roman" w:hAnsi="Times New Roman" w:cs="Times New Roman"/>
        </w:rPr>
        <w:t>nner à ce concept, ni</w:t>
      </w:r>
      <w:r w:rsidR="008F4B5C" w:rsidRPr="00F73959">
        <w:rPr>
          <w:rFonts w:ascii="Times New Roman" w:hAnsi="Times New Roman" w:cs="Times New Roman"/>
        </w:rPr>
        <w:t xml:space="preserve"> même sur</w:t>
      </w:r>
      <w:r w:rsidR="00FD53EA">
        <w:rPr>
          <w:rFonts w:ascii="Times New Roman" w:hAnsi="Times New Roman" w:cs="Times New Roman"/>
        </w:rPr>
        <w:t xml:space="preserve"> son utilité (</w:t>
      </w:r>
      <w:proofErr w:type="spellStart"/>
      <w:r w:rsidR="00FD53EA">
        <w:rPr>
          <w:rFonts w:ascii="Times New Roman" w:hAnsi="Times New Roman" w:cs="Times New Roman"/>
        </w:rPr>
        <w:t>Strange</w:t>
      </w:r>
      <w:proofErr w:type="spellEnd"/>
      <w:r w:rsidR="004445FE" w:rsidRPr="00F73959">
        <w:rPr>
          <w:rFonts w:ascii="Times New Roman" w:hAnsi="Times New Roman" w:cs="Times New Roman"/>
        </w:rPr>
        <w:t xml:space="preserve"> 1982). Cinq ans plus tard, </w:t>
      </w:r>
      <w:proofErr w:type="spellStart"/>
      <w:r w:rsidR="004445FE" w:rsidRPr="00F73959">
        <w:rPr>
          <w:rFonts w:ascii="Times New Roman" w:hAnsi="Times New Roman" w:cs="Times New Roman"/>
        </w:rPr>
        <w:t>Haggard</w:t>
      </w:r>
      <w:proofErr w:type="spellEnd"/>
      <w:r w:rsidR="004445FE" w:rsidRPr="00F73959">
        <w:rPr>
          <w:rFonts w:ascii="Times New Roman" w:hAnsi="Times New Roman" w:cs="Times New Roman"/>
        </w:rPr>
        <w:t xml:space="preserve"> et Simmons soulignaient encore que plusieurs définitions d’un régime existaient au sein de la littérature (1987 :</w:t>
      </w:r>
      <w:r w:rsidR="008F4B5C" w:rsidRPr="00F73959">
        <w:rPr>
          <w:rFonts w:ascii="Times New Roman" w:hAnsi="Times New Roman" w:cs="Times New Roman"/>
        </w:rPr>
        <w:t xml:space="preserve"> 494-496). </w:t>
      </w:r>
    </w:p>
    <w:p w14:paraId="7758E57C" w14:textId="1DE572A8" w:rsidR="00F50C2D" w:rsidRDefault="00F73959" w:rsidP="00BA43F7">
      <w:pPr>
        <w:spacing w:before="120" w:after="120" w:line="360" w:lineRule="auto"/>
        <w:jc w:val="both"/>
        <w:rPr>
          <w:rFonts w:ascii="Times New Roman" w:hAnsi="Times New Roman" w:cs="Times New Roman"/>
        </w:rPr>
      </w:pPr>
      <w:r w:rsidRPr="00F73959">
        <w:rPr>
          <w:rFonts w:ascii="Times New Roman" w:hAnsi="Times New Roman" w:cs="Times New Roman"/>
        </w:rPr>
        <w:t xml:space="preserve">Ainsi, </w:t>
      </w:r>
      <w:r w:rsidR="00092815">
        <w:rPr>
          <w:rFonts w:ascii="Times New Roman" w:hAnsi="Times New Roman" w:cs="Times New Roman"/>
        </w:rPr>
        <w:t xml:space="preserve">une </w:t>
      </w:r>
      <w:r w:rsidRPr="00F73959">
        <w:rPr>
          <w:rFonts w:ascii="Times New Roman" w:hAnsi="Times New Roman" w:cs="Times New Roman"/>
        </w:rPr>
        <w:t xml:space="preserve">Convention-cadre et ses </w:t>
      </w:r>
      <w:r w:rsidR="003609A7">
        <w:rPr>
          <w:rFonts w:ascii="Times New Roman" w:hAnsi="Times New Roman" w:cs="Times New Roman"/>
        </w:rPr>
        <w:t xml:space="preserve">divers </w:t>
      </w:r>
      <w:r w:rsidRPr="00F73959">
        <w:rPr>
          <w:rFonts w:ascii="Times New Roman" w:hAnsi="Times New Roman" w:cs="Times New Roman"/>
        </w:rPr>
        <w:t xml:space="preserve">organes </w:t>
      </w:r>
      <w:r w:rsidR="003609A7">
        <w:rPr>
          <w:rFonts w:ascii="Times New Roman" w:hAnsi="Times New Roman" w:cs="Times New Roman"/>
        </w:rPr>
        <w:t xml:space="preserve">(ex. : secrétariat, organe de règlement des différends, etc.) </w:t>
      </w:r>
      <w:r w:rsidRPr="00F73959">
        <w:rPr>
          <w:rFonts w:ascii="Times New Roman" w:hAnsi="Times New Roman" w:cs="Times New Roman"/>
        </w:rPr>
        <w:t>peuvent</w:t>
      </w:r>
      <w:r w:rsidR="00092815">
        <w:rPr>
          <w:rFonts w:ascii="Times New Roman" w:hAnsi="Times New Roman" w:cs="Times New Roman"/>
        </w:rPr>
        <w:t>-ils</w:t>
      </w:r>
      <w:r w:rsidRPr="00F73959">
        <w:rPr>
          <w:rFonts w:ascii="Times New Roman" w:hAnsi="Times New Roman" w:cs="Times New Roman"/>
        </w:rPr>
        <w:t xml:space="preserve"> être un régime ou faut-il comprendre ce co</w:t>
      </w:r>
      <w:r>
        <w:rPr>
          <w:rFonts w:ascii="Times New Roman" w:hAnsi="Times New Roman" w:cs="Times New Roman"/>
        </w:rPr>
        <w:t xml:space="preserve">ncept comme étant plus large ? </w:t>
      </w:r>
      <w:r w:rsidRPr="00F73959">
        <w:rPr>
          <w:rFonts w:ascii="Times New Roman" w:hAnsi="Times New Roman" w:cs="Times New Roman"/>
        </w:rPr>
        <w:t xml:space="preserve">À ce sujet, il est intéressant de noter qu’en critiquant la littérature sur les régimes, </w:t>
      </w:r>
      <w:proofErr w:type="spellStart"/>
      <w:r w:rsidRPr="00F73959">
        <w:rPr>
          <w:rFonts w:ascii="Times New Roman" w:hAnsi="Times New Roman" w:cs="Times New Roman"/>
        </w:rPr>
        <w:t>Raustiala</w:t>
      </w:r>
      <w:proofErr w:type="spellEnd"/>
      <w:r w:rsidRPr="00F73959">
        <w:rPr>
          <w:rFonts w:ascii="Times New Roman" w:hAnsi="Times New Roman" w:cs="Times New Roman"/>
        </w:rPr>
        <w:t xml:space="preserve"> et Victor soulignent qu’elle s’est principalement attardée à analyser </w:t>
      </w:r>
      <w:r>
        <w:rPr>
          <w:rFonts w:ascii="Times New Roman" w:hAnsi="Times New Roman" w:cs="Times New Roman"/>
        </w:rPr>
        <w:t>le fonctionnement d’un traité, par exemple le Protocole de Montréal, et de son organisation s’assurant de son application (2004 : 278). Ceci di</w:t>
      </w:r>
      <w:r w:rsidR="00D16047">
        <w:rPr>
          <w:rFonts w:ascii="Times New Roman" w:hAnsi="Times New Roman" w:cs="Times New Roman"/>
        </w:rPr>
        <w:t xml:space="preserve">t, il </w:t>
      </w:r>
      <w:proofErr w:type="spellStart"/>
      <w:r w:rsidR="00D16047">
        <w:rPr>
          <w:rFonts w:ascii="Times New Roman" w:hAnsi="Times New Roman" w:cs="Times New Roman"/>
        </w:rPr>
        <w:t>apparaît</w:t>
      </w:r>
      <w:proofErr w:type="spellEnd"/>
      <w:r w:rsidR="00D16047">
        <w:rPr>
          <w:rFonts w:ascii="Times New Roman" w:hAnsi="Times New Roman" w:cs="Times New Roman"/>
        </w:rPr>
        <w:t xml:space="preserve"> très limitatif d’un</w:t>
      </w:r>
      <w:r>
        <w:rPr>
          <w:rFonts w:ascii="Times New Roman" w:hAnsi="Times New Roman" w:cs="Times New Roman"/>
        </w:rPr>
        <w:t xml:space="preserve"> point de vue conceptuel de comprendre un régime comme l’équivalent d’une Convention-cadre ou d’un simple traité. </w:t>
      </w:r>
      <w:r w:rsidR="00F50C2D">
        <w:rPr>
          <w:rFonts w:ascii="Times New Roman" w:hAnsi="Times New Roman" w:cs="Times New Roman"/>
        </w:rPr>
        <w:t xml:space="preserve">Il </w:t>
      </w:r>
      <w:proofErr w:type="spellStart"/>
      <w:r w:rsidR="00F50C2D">
        <w:rPr>
          <w:rFonts w:ascii="Times New Roman" w:hAnsi="Times New Roman" w:cs="Times New Roman"/>
        </w:rPr>
        <w:t>apparaît</w:t>
      </w:r>
      <w:proofErr w:type="spellEnd"/>
      <w:r w:rsidR="00F50C2D">
        <w:rPr>
          <w:rFonts w:ascii="Times New Roman" w:hAnsi="Times New Roman" w:cs="Times New Roman"/>
        </w:rPr>
        <w:t xml:space="preserve"> important que l’utilisation d’un concept permette d’apporter un éclairage supplémentaire à l’analyse. Si </w:t>
      </w:r>
      <w:r w:rsidR="00092815">
        <w:rPr>
          <w:rFonts w:ascii="Times New Roman" w:hAnsi="Times New Roman" w:cs="Times New Roman"/>
        </w:rPr>
        <w:t>un</w:t>
      </w:r>
      <w:r w:rsidR="00F50C2D">
        <w:rPr>
          <w:rFonts w:ascii="Times New Roman" w:hAnsi="Times New Roman" w:cs="Times New Roman"/>
        </w:rPr>
        <w:t xml:space="preserve"> régime revenait à être uniquement </w:t>
      </w:r>
      <w:r w:rsidR="00092815">
        <w:rPr>
          <w:rFonts w:ascii="Times New Roman" w:hAnsi="Times New Roman" w:cs="Times New Roman"/>
        </w:rPr>
        <w:t>un traité, la pertinence de ce nouveau concept s</w:t>
      </w:r>
      <w:r w:rsidR="00417129">
        <w:rPr>
          <w:rFonts w:ascii="Times New Roman" w:hAnsi="Times New Roman" w:cs="Times New Roman"/>
        </w:rPr>
        <w:t>erait questionnable.</w:t>
      </w:r>
    </w:p>
    <w:p w14:paraId="1B5F04F0" w14:textId="44EADB54" w:rsidR="0086281E" w:rsidRDefault="00F73959" w:rsidP="00BA43F7">
      <w:pPr>
        <w:spacing w:before="120" w:after="120" w:line="360" w:lineRule="auto"/>
        <w:jc w:val="both"/>
        <w:rPr>
          <w:rFonts w:ascii="Times New Roman" w:hAnsi="Times New Roman" w:cs="Times New Roman"/>
        </w:rPr>
      </w:pPr>
      <w:r>
        <w:rPr>
          <w:rFonts w:ascii="Times New Roman" w:hAnsi="Times New Roman" w:cs="Times New Roman"/>
        </w:rPr>
        <w:t xml:space="preserve">L’avantage de la définition de </w:t>
      </w:r>
      <w:proofErr w:type="spellStart"/>
      <w:r>
        <w:rPr>
          <w:rFonts w:ascii="Times New Roman" w:hAnsi="Times New Roman" w:cs="Times New Roman"/>
        </w:rPr>
        <w:t>Krasner</w:t>
      </w:r>
      <w:proofErr w:type="spellEnd"/>
      <w:r>
        <w:rPr>
          <w:rFonts w:ascii="Times New Roman" w:hAnsi="Times New Roman" w:cs="Times New Roman"/>
        </w:rPr>
        <w:t xml:space="preserve"> est justement sa capacité à représenter divers</w:t>
      </w:r>
      <w:r w:rsidR="00D16047">
        <w:rPr>
          <w:rFonts w:ascii="Times New Roman" w:hAnsi="Times New Roman" w:cs="Times New Roman"/>
        </w:rPr>
        <w:t>es</w:t>
      </w:r>
      <w:r>
        <w:rPr>
          <w:rFonts w:ascii="Times New Roman" w:hAnsi="Times New Roman" w:cs="Times New Roman"/>
        </w:rPr>
        <w:t xml:space="preserve"> réalités. Dans certaines circonstances, un régime peut en effet être un seul traité qui établit un principe général </w:t>
      </w:r>
      <w:r w:rsidR="00417129">
        <w:rPr>
          <w:rFonts w:ascii="Times New Roman" w:hAnsi="Times New Roman" w:cs="Times New Roman"/>
        </w:rPr>
        <w:t>et</w:t>
      </w:r>
      <w:r>
        <w:rPr>
          <w:rFonts w:ascii="Times New Roman" w:hAnsi="Times New Roman" w:cs="Times New Roman"/>
        </w:rPr>
        <w:t xml:space="preserve"> des</w:t>
      </w:r>
      <w:r w:rsidR="00417129">
        <w:rPr>
          <w:rFonts w:ascii="Times New Roman" w:hAnsi="Times New Roman" w:cs="Times New Roman"/>
        </w:rPr>
        <w:t xml:space="preserve"> normes qui sont </w:t>
      </w:r>
      <w:r w:rsidR="00092815">
        <w:rPr>
          <w:rFonts w:ascii="Times New Roman" w:hAnsi="Times New Roman" w:cs="Times New Roman"/>
        </w:rPr>
        <w:t>appuyés</w:t>
      </w:r>
      <w:r w:rsidR="00417129">
        <w:rPr>
          <w:rFonts w:ascii="Times New Roman" w:hAnsi="Times New Roman" w:cs="Times New Roman"/>
        </w:rPr>
        <w:t xml:space="preserve"> par</w:t>
      </w:r>
      <w:r w:rsidR="00D16047">
        <w:rPr>
          <w:rFonts w:ascii="Times New Roman" w:hAnsi="Times New Roman" w:cs="Times New Roman"/>
        </w:rPr>
        <w:t xml:space="preserve"> des règles ainsi que des procédures de décisions </w:t>
      </w:r>
      <w:r w:rsidR="00417129">
        <w:rPr>
          <w:rFonts w:ascii="Times New Roman" w:hAnsi="Times New Roman" w:cs="Times New Roman"/>
        </w:rPr>
        <w:t xml:space="preserve">prévues par </w:t>
      </w:r>
      <w:r w:rsidR="00D16047">
        <w:rPr>
          <w:rFonts w:ascii="Times New Roman" w:hAnsi="Times New Roman" w:cs="Times New Roman"/>
        </w:rPr>
        <w:t xml:space="preserve">ce même </w:t>
      </w:r>
      <w:proofErr w:type="gramStart"/>
      <w:r w:rsidR="00D16047">
        <w:rPr>
          <w:rFonts w:ascii="Times New Roman" w:hAnsi="Times New Roman" w:cs="Times New Roman"/>
        </w:rPr>
        <w:t>traité</w:t>
      </w:r>
      <w:proofErr w:type="gramEnd"/>
      <w:r w:rsidR="00D16047">
        <w:rPr>
          <w:rFonts w:ascii="Times New Roman" w:hAnsi="Times New Roman" w:cs="Times New Roman"/>
        </w:rPr>
        <w:t>. Dans d’autres, il est tout à fait imaginable qu’</w:t>
      </w:r>
      <w:r w:rsidR="00863F2E">
        <w:rPr>
          <w:rFonts w:ascii="Times New Roman" w:hAnsi="Times New Roman" w:cs="Times New Roman"/>
        </w:rPr>
        <w:t xml:space="preserve">un principe </w:t>
      </w:r>
      <w:r w:rsidR="00417129">
        <w:rPr>
          <w:rFonts w:ascii="Times New Roman" w:hAnsi="Times New Roman" w:cs="Times New Roman"/>
        </w:rPr>
        <w:t>et des normes soient supportés par</w:t>
      </w:r>
      <w:r w:rsidR="00D16047">
        <w:rPr>
          <w:rFonts w:ascii="Times New Roman" w:hAnsi="Times New Roman" w:cs="Times New Roman"/>
        </w:rPr>
        <w:t xml:space="preserve"> des règles et des procédures de décision qui se développent au sein de plusieurs traités </w:t>
      </w:r>
      <w:proofErr w:type="gramStart"/>
      <w:r w:rsidR="00D16047">
        <w:rPr>
          <w:rFonts w:ascii="Times New Roman" w:hAnsi="Times New Roman" w:cs="Times New Roman"/>
        </w:rPr>
        <w:t>ou</w:t>
      </w:r>
      <w:proofErr w:type="gramEnd"/>
      <w:r w:rsidR="00D16047">
        <w:rPr>
          <w:rFonts w:ascii="Times New Roman" w:hAnsi="Times New Roman" w:cs="Times New Roman"/>
        </w:rPr>
        <w:t xml:space="preserve"> </w:t>
      </w:r>
      <w:r w:rsidR="00092815">
        <w:rPr>
          <w:rFonts w:ascii="Times New Roman" w:hAnsi="Times New Roman" w:cs="Times New Roman"/>
        </w:rPr>
        <w:t xml:space="preserve">émanent </w:t>
      </w:r>
      <w:r w:rsidR="00D16047">
        <w:rPr>
          <w:rFonts w:ascii="Times New Roman" w:hAnsi="Times New Roman" w:cs="Times New Roman"/>
        </w:rPr>
        <w:t xml:space="preserve">de la pratique de divers acteurs. </w:t>
      </w:r>
      <w:r w:rsidR="00863F2E">
        <w:rPr>
          <w:rFonts w:ascii="Times New Roman" w:hAnsi="Times New Roman" w:cs="Times New Roman"/>
        </w:rPr>
        <w:t xml:space="preserve">Par exemple, dans le cas qui nous intéresse, </w:t>
      </w:r>
      <w:r w:rsidR="008818AB">
        <w:rPr>
          <w:rFonts w:ascii="Times New Roman" w:hAnsi="Times New Roman" w:cs="Times New Roman"/>
        </w:rPr>
        <w:t>l’ensemble des traités bilatéraux d’investissement, de chapitres sur l’investissement au sein d’accord</w:t>
      </w:r>
      <w:r w:rsidR="00092815">
        <w:rPr>
          <w:rFonts w:ascii="Times New Roman" w:hAnsi="Times New Roman" w:cs="Times New Roman"/>
        </w:rPr>
        <w:t>s</w:t>
      </w:r>
      <w:r w:rsidR="008818AB">
        <w:rPr>
          <w:rFonts w:ascii="Times New Roman" w:hAnsi="Times New Roman" w:cs="Times New Roman"/>
        </w:rPr>
        <w:t xml:space="preserve"> de libre-échange, de documents d’organisations internationales et les différentes forums d’arbitrage font la promotion de règles et de procédures de décisions sous-jacentes aux principes que le</w:t>
      </w:r>
      <w:r w:rsidR="00092815">
        <w:rPr>
          <w:rFonts w:ascii="Times New Roman" w:hAnsi="Times New Roman" w:cs="Times New Roman"/>
        </w:rPr>
        <w:t>s investisseurs étrangers ont</w:t>
      </w:r>
      <w:r w:rsidR="008818AB">
        <w:rPr>
          <w:rFonts w:ascii="Times New Roman" w:hAnsi="Times New Roman" w:cs="Times New Roman"/>
        </w:rPr>
        <w:t xml:space="preserve"> droit à un traitement minimal, que leur propriété doit être protégée et que ses garanties favorisent le développement économique.</w:t>
      </w:r>
    </w:p>
    <w:p w14:paraId="51BA03B8" w14:textId="27184DCF" w:rsidR="000D1C6C" w:rsidRDefault="008818AB" w:rsidP="00BA43F7">
      <w:pPr>
        <w:spacing w:before="120" w:after="120" w:line="360" w:lineRule="auto"/>
        <w:jc w:val="both"/>
        <w:rPr>
          <w:rFonts w:ascii="Times New Roman" w:hAnsi="Times New Roman" w:cs="Times New Roman"/>
        </w:rPr>
      </w:pPr>
      <w:r>
        <w:rPr>
          <w:rFonts w:ascii="Times New Roman" w:hAnsi="Times New Roman" w:cs="Times New Roman"/>
        </w:rPr>
        <w:t>Le régime des investissements est d’ailleurs intéressant puisqu’il démontre qu’un régime peut évoluer et être le résultat de l’intégration de divers régimes (M</w:t>
      </w:r>
      <w:r w:rsidR="00F50C2D">
        <w:rPr>
          <w:rFonts w:ascii="Times New Roman" w:hAnsi="Times New Roman" w:cs="Times New Roman"/>
        </w:rPr>
        <w:t>o</w:t>
      </w:r>
      <w:r w:rsidR="00FD53EA">
        <w:rPr>
          <w:rFonts w:ascii="Times New Roman" w:hAnsi="Times New Roman" w:cs="Times New Roman"/>
        </w:rPr>
        <w:t>rin et</w:t>
      </w:r>
      <w:r>
        <w:rPr>
          <w:rFonts w:ascii="Times New Roman" w:hAnsi="Times New Roman" w:cs="Times New Roman"/>
        </w:rPr>
        <w:t xml:space="preserve"> </w:t>
      </w:r>
      <w:r w:rsidR="00F50C2D">
        <w:rPr>
          <w:rFonts w:ascii="Times New Roman" w:hAnsi="Times New Roman" w:cs="Times New Roman"/>
        </w:rPr>
        <w:t>Orsini</w:t>
      </w:r>
      <w:r>
        <w:rPr>
          <w:rFonts w:ascii="Times New Roman" w:hAnsi="Times New Roman" w:cs="Times New Roman"/>
        </w:rPr>
        <w:t xml:space="preserve"> 2013 : 44). </w:t>
      </w:r>
      <w:r w:rsidR="00F50C2D">
        <w:rPr>
          <w:rFonts w:ascii="Times New Roman" w:hAnsi="Times New Roman" w:cs="Times New Roman"/>
        </w:rPr>
        <w:t xml:space="preserve"> </w:t>
      </w:r>
      <w:r w:rsidR="00A20FC9">
        <w:rPr>
          <w:rFonts w:ascii="Times New Roman" w:hAnsi="Times New Roman" w:cs="Times New Roman"/>
        </w:rPr>
        <w:t>Contrairement à aujourd’hui, le régime des investisseme</w:t>
      </w:r>
      <w:r w:rsidR="00092815">
        <w:rPr>
          <w:rFonts w:ascii="Times New Roman" w:hAnsi="Times New Roman" w:cs="Times New Roman"/>
        </w:rPr>
        <w:t>nts a en effet déjà été divisé en</w:t>
      </w:r>
      <w:r w:rsidR="00A20FC9">
        <w:rPr>
          <w:rFonts w:ascii="Times New Roman" w:hAnsi="Times New Roman" w:cs="Times New Roman"/>
        </w:rPr>
        <w:t xml:space="preserve"> divers principes contradictoires. </w:t>
      </w:r>
      <w:r w:rsidR="006A12AA">
        <w:rPr>
          <w:rFonts w:ascii="Times New Roman" w:hAnsi="Times New Roman" w:cs="Times New Roman"/>
        </w:rPr>
        <w:t>La doctrine Calvo, un temps soutenu</w:t>
      </w:r>
      <w:r w:rsidR="00440E61">
        <w:rPr>
          <w:rFonts w:ascii="Times New Roman" w:hAnsi="Times New Roman" w:cs="Times New Roman"/>
        </w:rPr>
        <w:t>e</w:t>
      </w:r>
      <w:r w:rsidR="00092815">
        <w:rPr>
          <w:rFonts w:ascii="Times New Roman" w:hAnsi="Times New Roman" w:cs="Times New Roman"/>
        </w:rPr>
        <w:t xml:space="preserve"> par plusieurs pays d’Amérique l</w:t>
      </w:r>
      <w:r w:rsidR="006A12AA">
        <w:rPr>
          <w:rFonts w:ascii="Times New Roman" w:hAnsi="Times New Roman" w:cs="Times New Roman"/>
        </w:rPr>
        <w:t>atine</w:t>
      </w:r>
      <w:r w:rsidR="00417129">
        <w:rPr>
          <w:rFonts w:ascii="Times New Roman" w:hAnsi="Times New Roman" w:cs="Times New Roman"/>
        </w:rPr>
        <w:t xml:space="preserve"> et l’</w:t>
      </w:r>
      <w:r w:rsidR="00092815">
        <w:rPr>
          <w:rFonts w:ascii="Times New Roman" w:hAnsi="Times New Roman" w:cs="Times New Roman"/>
        </w:rPr>
        <w:t>ex-</w:t>
      </w:r>
      <w:r w:rsidR="00417129">
        <w:rPr>
          <w:rFonts w:ascii="Times New Roman" w:hAnsi="Times New Roman" w:cs="Times New Roman"/>
        </w:rPr>
        <w:t>URSS</w:t>
      </w:r>
      <w:r w:rsidR="006A12AA">
        <w:rPr>
          <w:rFonts w:ascii="Times New Roman" w:hAnsi="Times New Roman" w:cs="Times New Roman"/>
        </w:rPr>
        <w:t xml:space="preserve">, s’opposait en effet au principe chapeautant maintenant le régime des investissements en affirmant qu’un investisseur étranger ne pouvait avoir davantage de droits </w:t>
      </w:r>
      <w:r w:rsidR="006A12AA">
        <w:rPr>
          <w:rFonts w:ascii="Times New Roman" w:hAnsi="Times New Roman" w:cs="Times New Roman"/>
        </w:rPr>
        <w:lastRenderedPageBreak/>
        <w:t xml:space="preserve">qu’un investisseur national </w:t>
      </w:r>
      <w:r w:rsidR="00417129">
        <w:rPr>
          <w:rFonts w:ascii="Times New Roman" w:hAnsi="Times New Roman" w:cs="Times New Roman"/>
        </w:rPr>
        <w:t xml:space="preserve">et qu’il devait </w:t>
      </w:r>
      <w:r w:rsidR="00092815">
        <w:rPr>
          <w:rFonts w:ascii="Times New Roman" w:hAnsi="Times New Roman" w:cs="Times New Roman"/>
        </w:rPr>
        <w:t>avoir recours aux</w:t>
      </w:r>
      <w:r w:rsidR="00417129">
        <w:rPr>
          <w:rFonts w:ascii="Times New Roman" w:hAnsi="Times New Roman" w:cs="Times New Roman"/>
        </w:rPr>
        <w:t xml:space="preserve"> cours nationales afin de faire appliquer le droit de l’État où l’investissement est effectué </w:t>
      </w:r>
      <w:r w:rsidR="00FD53EA">
        <w:rPr>
          <w:rFonts w:ascii="Times New Roman" w:hAnsi="Times New Roman" w:cs="Times New Roman"/>
        </w:rPr>
        <w:t>(</w:t>
      </w:r>
      <w:proofErr w:type="spellStart"/>
      <w:r w:rsidR="00FD53EA">
        <w:rPr>
          <w:rFonts w:ascii="Times New Roman" w:hAnsi="Times New Roman" w:cs="Times New Roman"/>
        </w:rPr>
        <w:t>Newcombe</w:t>
      </w:r>
      <w:proofErr w:type="spellEnd"/>
      <w:r w:rsidR="00FD53EA">
        <w:rPr>
          <w:rFonts w:ascii="Times New Roman" w:hAnsi="Times New Roman" w:cs="Times New Roman"/>
        </w:rPr>
        <w:t xml:space="preserve"> et </w:t>
      </w:r>
      <w:proofErr w:type="spellStart"/>
      <w:r w:rsidR="00FD53EA">
        <w:rPr>
          <w:rFonts w:ascii="Times New Roman" w:hAnsi="Times New Roman" w:cs="Times New Roman"/>
        </w:rPr>
        <w:t>Paradell</w:t>
      </w:r>
      <w:proofErr w:type="spellEnd"/>
      <w:r w:rsidR="006A12AA">
        <w:rPr>
          <w:rFonts w:ascii="Times New Roman" w:hAnsi="Times New Roman" w:cs="Times New Roman"/>
        </w:rPr>
        <w:t xml:space="preserve"> 2009 : 13</w:t>
      </w:r>
      <w:r w:rsidR="00FD53EA">
        <w:rPr>
          <w:rFonts w:ascii="Times New Roman" w:hAnsi="Times New Roman" w:cs="Times New Roman"/>
        </w:rPr>
        <w:t xml:space="preserve">; </w:t>
      </w:r>
      <w:proofErr w:type="spellStart"/>
      <w:r w:rsidR="00254823">
        <w:rPr>
          <w:rFonts w:ascii="Times New Roman" w:hAnsi="Times New Roman" w:cs="Times New Roman"/>
        </w:rPr>
        <w:t>Clodfelter</w:t>
      </w:r>
      <w:proofErr w:type="spellEnd"/>
      <w:r w:rsidR="00DB5644">
        <w:rPr>
          <w:rFonts w:ascii="Times New Roman" w:hAnsi="Times New Roman" w:cs="Times New Roman"/>
        </w:rPr>
        <w:t xml:space="preserve"> 2009 : 175</w:t>
      </w:r>
      <w:r w:rsidR="006A12AA">
        <w:rPr>
          <w:rFonts w:ascii="Times New Roman" w:hAnsi="Times New Roman" w:cs="Times New Roman"/>
        </w:rPr>
        <w:t xml:space="preserve">). </w:t>
      </w:r>
    </w:p>
    <w:p w14:paraId="09CA0B04" w14:textId="0A8D2260" w:rsidR="000D1C6C" w:rsidRDefault="000D1C6C" w:rsidP="00BA43F7">
      <w:pPr>
        <w:spacing w:before="120" w:after="120" w:line="360" w:lineRule="auto"/>
        <w:jc w:val="both"/>
        <w:rPr>
          <w:rFonts w:ascii="Times New Roman" w:hAnsi="Times New Roman" w:cs="Times New Roman"/>
        </w:rPr>
      </w:pPr>
      <w:r>
        <w:rPr>
          <w:rFonts w:ascii="Times New Roman" w:hAnsi="Times New Roman" w:cs="Times New Roman"/>
        </w:rPr>
        <w:t xml:space="preserve">Dans l’hypothèse où cette doctrine se serait implantée, </w:t>
      </w:r>
      <w:r w:rsidR="00A20FC9">
        <w:rPr>
          <w:rFonts w:ascii="Times New Roman" w:hAnsi="Times New Roman" w:cs="Times New Roman"/>
        </w:rPr>
        <w:t>cela</w:t>
      </w:r>
      <w:r>
        <w:rPr>
          <w:rFonts w:ascii="Times New Roman" w:hAnsi="Times New Roman" w:cs="Times New Roman"/>
        </w:rPr>
        <w:t xml:space="preserve"> aurait signifié selon </w:t>
      </w:r>
      <w:proofErr w:type="spellStart"/>
      <w:r>
        <w:rPr>
          <w:rFonts w:ascii="Times New Roman" w:hAnsi="Times New Roman" w:cs="Times New Roman"/>
        </w:rPr>
        <w:t>Krasner</w:t>
      </w:r>
      <w:proofErr w:type="spellEnd"/>
      <w:r>
        <w:rPr>
          <w:rFonts w:ascii="Times New Roman" w:hAnsi="Times New Roman" w:cs="Times New Roman"/>
        </w:rPr>
        <w:t xml:space="preserve"> un changement de régime puisque le cœur d’un régime </w:t>
      </w:r>
      <w:r w:rsidR="00440E61">
        <w:rPr>
          <w:rFonts w:ascii="Times New Roman" w:hAnsi="Times New Roman" w:cs="Times New Roman"/>
        </w:rPr>
        <w:t>est</w:t>
      </w:r>
      <w:r>
        <w:rPr>
          <w:rFonts w:ascii="Times New Roman" w:hAnsi="Times New Roman" w:cs="Times New Roman"/>
        </w:rPr>
        <w:t xml:space="preserve"> ses principes</w:t>
      </w:r>
      <w:r w:rsidR="00417129">
        <w:rPr>
          <w:rFonts w:ascii="Times New Roman" w:hAnsi="Times New Roman" w:cs="Times New Roman"/>
        </w:rPr>
        <w:t xml:space="preserve"> et ses normes</w:t>
      </w:r>
      <w:r>
        <w:rPr>
          <w:rFonts w:ascii="Times New Roman" w:hAnsi="Times New Roman" w:cs="Times New Roman"/>
        </w:rPr>
        <w:t xml:space="preserve"> (1982 : 188).</w:t>
      </w:r>
      <w:r w:rsidR="00417129">
        <w:rPr>
          <w:rFonts w:ascii="Times New Roman" w:hAnsi="Times New Roman" w:cs="Times New Roman"/>
        </w:rPr>
        <w:t xml:space="preserve"> À l’inverse, u</w:t>
      </w:r>
      <w:r>
        <w:rPr>
          <w:rFonts w:ascii="Times New Roman" w:hAnsi="Times New Roman" w:cs="Times New Roman"/>
        </w:rPr>
        <w:t>n changement dans les règles, par exemple l</w:t>
      </w:r>
      <w:r w:rsidR="00A20FC9">
        <w:rPr>
          <w:rFonts w:ascii="Times New Roman" w:hAnsi="Times New Roman" w:cs="Times New Roman"/>
        </w:rPr>
        <w:t>’adoption d’une nouvelle</w:t>
      </w:r>
      <w:r>
        <w:rPr>
          <w:rFonts w:ascii="Times New Roman" w:hAnsi="Times New Roman" w:cs="Times New Roman"/>
        </w:rPr>
        <w:t xml:space="preserve"> définition d’une expropriation indirecte, est un changement intra-régime puisque le principe affirmant l’objectif d’offrir une protection minimale aux investisseurs étrangers demeure le même. </w:t>
      </w:r>
      <w:r w:rsidR="00A80C1E">
        <w:rPr>
          <w:rFonts w:ascii="Times New Roman" w:hAnsi="Times New Roman" w:cs="Times New Roman"/>
        </w:rPr>
        <w:t xml:space="preserve">Bien que cette vision de l’évolution d’un régime demeure valide et pertinente, un ajout s’impose. Un </w:t>
      </w:r>
      <w:r>
        <w:rPr>
          <w:rFonts w:ascii="Times New Roman" w:hAnsi="Times New Roman" w:cs="Times New Roman"/>
        </w:rPr>
        <w:t xml:space="preserve">changement dans les principes d’un régime ne signifie pas nécessairement qu’il </w:t>
      </w:r>
      <w:r w:rsidR="00A80C1E">
        <w:rPr>
          <w:rFonts w:ascii="Times New Roman" w:hAnsi="Times New Roman" w:cs="Times New Roman"/>
        </w:rPr>
        <w:t>disparaisse au profit d’un autre</w:t>
      </w:r>
      <w:r>
        <w:rPr>
          <w:rFonts w:ascii="Times New Roman" w:hAnsi="Times New Roman" w:cs="Times New Roman"/>
        </w:rPr>
        <w:t>. Il est également possible que l’adoption d’un nouveau principe mène à la création d’</w:t>
      </w:r>
      <w:r w:rsidR="00C22964">
        <w:rPr>
          <w:rFonts w:ascii="Times New Roman" w:hAnsi="Times New Roman" w:cs="Times New Roman"/>
        </w:rPr>
        <w:t>un régime parallèle, ce qui aurait alors pour effet de créer un environnement dans lequel plus d’un régime traite d’une même question et pui</w:t>
      </w:r>
      <w:r w:rsidR="00254823">
        <w:rPr>
          <w:rFonts w:ascii="Times New Roman" w:hAnsi="Times New Roman" w:cs="Times New Roman"/>
        </w:rPr>
        <w:t xml:space="preserve">sse être en compétition (Morin et Orsini </w:t>
      </w:r>
      <w:r w:rsidR="00C22964">
        <w:rPr>
          <w:rFonts w:ascii="Times New Roman" w:hAnsi="Times New Roman" w:cs="Times New Roman"/>
        </w:rPr>
        <w:t>2013 : 43).</w:t>
      </w:r>
      <w:r w:rsidR="00A20FC9">
        <w:rPr>
          <w:rFonts w:ascii="Times New Roman" w:hAnsi="Times New Roman" w:cs="Times New Roman"/>
        </w:rPr>
        <w:t xml:space="preserve"> </w:t>
      </w:r>
    </w:p>
    <w:p w14:paraId="41D8694E" w14:textId="277F8744" w:rsidR="00C22964" w:rsidRDefault="00C22964" w:rsidP="00BA43F7">
      <w:pPr>
        <w:spacing w:before="120" w:after="120" w:line="360" w:lineRule="auto"/>
        <w:jc w:val="both"/>
        <w:rPr>
          <w:rFonts w:ascii="Times New Roman" w:hAnsi="Times New Roman" w:cs="Times New Roman"/>
        </w:rPr>
      </w:pPr>
      <w:r>
        <w:rPr>
          <w:rFonts w:ascii="Times New Roman" w:hAnsi="Times New Roman" w:cs="Times New Roman"/>
        </w:rPr>
        <w:t xml:space="preserve">L’existence de plusieurs régimes traitant d’un même sujet est justement la thèse à la base de la théorie des complexes de régime : </w:t>
      </w:r>
    </w:p>
    <w:p w14:paraId="3CBBB658" w14:textId="29EC17B3" w:rsidR="00C22964" w:rsidRPr="00525D7F" w:rsidRDefault="00A55286" w:rsidP="00E17A63">
      <w:pPr>
        <w:spacing w:before="120" w:after="120"/>
        <w:ind w:left="709" w:right="709"/>
        <w:jc w:val="both"/>
        <w:rPr>
          <w:rFonts w:ascii="Times New Roman" w:hAnsi="Times New Roman" w:cs="Times New Roman"/>
          <w:i/>
          <w:sz w:val="20"/>
          <w:lang w:val="en-CA"/>
        </w:rPr>
      </w:pPr>
      <w:r>
        <w:rPr>
          <w:rFonts w:ascii="Times New Roman" w:hAnsi="Times New Roman" w:cs="Times New Roman"/>
          <w:i/>
          <w:sz w:val="20"/>
          <w:lang w:val="en-CA"/>
        </w:rPr>
        <w:t>[</w:t>
      </w:r>
      <w:proofErr w:type="gramStart"/>
      <w:r>
        <w:rPr>
          <w:rFonts w:ascii="Times New Roman" w:hAnsi="Times New Roman" w:cs="Times New Roman"/>
          <w:i/>
          <w:sz w:val="20"/>
          <w:lang w:val="en-CA"/>
        </w:rPr>
        <w:t>E]</w:t>
      </w:r>
      <w:proofErr w:type="spellStart"/>
      <w:r w:rsidR="00C22964" w:rsidRPr="00C22964">
        <w:rPr>
          <w:rFonts w:ascii="Times New Roman" w:hAnsi="Times New Roman" w:cs="Times New Roman"/>
          <w:i/>
          <w:sz w:val="20"/>
          <w:lang w:val="en-CA"/>
        </w:rPr>
        <w:t>lemental</w:t>
      </w:r>
      <w:proofErr w:type="spellEnd"/>
      <w:proofErr w:type="gramEnd"/>
      <w:r w:rsidR="00C22964" w:rsidRPr="00C22964">
        <w:rPr>
          <w:rFonts w:ascii="Times New Roman" w:hAnsi="Times New Roman" w:cs="Times New Roman"/>
          <w:i/>
          <w:sz w:val="20"/>
          <w:lang w:val="en-CA"/>
        </w:rPr>
        <w:t xml:space="preserve"> regimes overlap in scope, subject, and time; events in one affect th</w:t>
      </w:r>
      <w:r w:rsidR="00C22964">
        <w:rPr>
          <w:rFonts w:ascii="Times New Roman" w:hAnsi="Times New Roman" w:cs="Times New Roman"/>
          <w:i/>
          <w:sz w:val="20"/>
          <w:lang w:val="en-CA"/>
        </w:rPr>
        <w:t>ose in others. We term the col</w:t>
      </w:r>
      <w:r w:rsidR="00C22964" w:rsidRPr="00C22964">
        <w:rPr>
          <w:rFonts w:ascii="Times New Roman" w:hAnsi="Times New Roman" w:cs="Times New Roman"/>
          <w:i/>
          <w:sz w:val="20"/>
          <w:lang w:val="en-CA"/>
        </w:rPr>
        <w:t xml:space="preserve">lective of these elements a regime complex: an array of partially overlapping and </w:t>
      </w:r>
      <w:proofErr w:type="spellStart"/>
      <w:r w:rsidR="00C22964" w:rsidRPr="00C22964">
        <w:rPr>
          <w:rFonts w:ascii="Times New Roman" w:hAnsi="Times New Roman" w:cs="Times New Roman"/>
          <w:i/>
          <w:sz w:val="20"/>
          <w:lang w:val="en-CA"/>
        </w:rPr>
        <w:t>nonhierarchical</w:t>
      </w:r>
      <w:proofErr w:type="spellEnd"/>
      <w:r w:rsidR="00C22964" w:rsidRPr="00C22964">
        <w:rPr>
          <w:rFonts w:ascii="Times New Roman" w:hAnsi="Times New Roman" w:cs="Times New Roman"/>
          <w:i/>
          <w:sz w:val="20"/>
          <w:lang w:val="en-CA"/>
        </w:rPr>
        <w:t xml:space="preserve"> institutions governing a particular issue-area</w:t>
      </w:r>
      <w:r w:rsidR="00562027">
        <w:rPr>
          <w:rFonts w:ascii="Times New Roman" w:hAnsi="Times New Roman" w:cs="Times New Roman"/>
          <w:i/>
          <w:sz w:val="20"/>
          <w:szCs w:val="20"/>
          <w:lang w:val="en-CA"/>
        </w:rPr>
        <w:t xml:space="preserve"> </w:t>
      </w:r>
      <w:r w:rsidR="00254823">
        <w:rPr>
          <w:rFonts w:ascii="Times New Roman" w:hAnsi="Times New Roman" w:cs="Times New Roman"/>
          <w:sz w:val="20"/>
          <w:szCs w:val="20"/>
          <w:lang w:val="en-CA"/>
        </w:rPr>
        <w:t>(</w:t>
      </w:r>
      <w:proofErr w:type="spellStart"/>
      <w:r w:rsidR="00254823" w:rsidRPr="006A791E">
        <w:rPr>
          <w:rFonts w:ascii="Times New Roman" w:hAnsi="Times New Roman" w:cs="Times New Roman"/>
          <w:sz w:val="20"/>
          <w:szCs w:val="20"/>
          <w:lang w:val="en-CA"/>
        </w:rPr>
        <w:t>Raustiala</w:t>
      </w:r>
      <w:proofErr w:type="spellEnd"/>
      <w:r w:rsidR="00254823" w:rsidRPr="006A791E">
        <w:rPr>
          <w:rFonts w:ascii="Times New Roman" w:hAnsi="Times New Roman" w:cs="Times New Roman"/>
          <w:sz w:val="20"/>
          <w:szCs w:val="20"/>
          <w:lang w:val="en-CA"/>
        </w:rPr>
        <w:t xml:space="preserve"> et Victor </w:t>
      </w:r>
      <w:proofErr w:type="gramStart"/>
      <w:r w:rsidR="00254823" w:rsidRPr="006A791E">
        <w:rPr>
          <w:rFonts w:ascii="Times New Roman" w:hAnsi="Times New Roman" w:cs="Times New Roman"/>
          <w:sz w:val="20"/>
          <w:szCs w:val="20"/>
          <w:lang w:val="en-CA"/>
        </w:rPr>
        <w:t>2004 :</w:t>
      </w:r>
      <w:proofErr w:type="gramEnd"/>
      <w:r w:rsidR="00C22964" w:rsidRPr="006A791E">
        <w:rPr>
          <w:rFonts w:ascii="Times New Roman" w:hAnsi="Times New Roman" w:cs="Times New Roman"/>
          <w:sz w:val="20"/>
          <w:szCs w:val="20"/>
          <w:lang w:val="en-CA"/>
        </w:rPr>
        <w:t xml:space="preserve"> 279</w:t>
      </w:r>
      <w:r w:rsidR="00C22964" w:rsidRPr="00525D7F">
        <w:rPr>
          <w:rFonts w:ascii="Times New Roman" w:hAnsi="Times New Roman" w:cs="Times New Roman"/>
          <w:sz w:val="20"/>
          <w:szCs w:val="20"/>
          <w:lang w:val="en-CA"/>
        </w:rPr>
        <w:t>)</w:t>
      </w:r>
      <w:r w:rsidR="00562027" w:rsidRPr="00525D7F">
        <w:rPr>
          <w:rFonts w:ascii="Times New Roman" w:hAnsi="Times New Roman" w:cs="Times New Roman"/>
          <w:sz w:val="20"/>
          <w:szCs w:val="20"/>
          <w:lang w:val="en-CA"/>
        </w:rPr>
        <w:t>.</w:t>
      </w:r>
    </w:p>
    <w:p w14:paraId="24F0D479" w14:textId="46F5BE46" w:rsidR="00ED53BF" w:rsidRDefault="00EC1366" w:rsidP="00BA43F7">
      <w:pPr>
        <w:spacing w:before="120" w:after="120" w:line="360" w:lineRule="auto"/>
        <w:jc w:val="both"/>
        <w:rPr>
          <w:rFonts w:ascii="Times New Roman" w:hAnsi="Times New Roman" w:cs="Times New Roman"/>
        </w:rPr>
      </w:pPr>
      <w:r>
        <w:rPr>
          <w:rFonts w:ascii="Times New Roman" w:hAnsi="Times New Roman" w:cs="Times New Roman"/>
        </w:rPr>
        <w:t>C</w:t>
      </w:r>
      <w:r w:rsidR="002809D7">
        <w:rPr>
          <w:rFonts w:ascii="Times New Roman" w:hAnsi="Times New Roman" w:cs="Times New Roman"/>
        </w:rPr>
        <w:t>ette définition</w:t>
      </w:r>
      <w:r>
        <w:rPr>
          <w:rFonts w:ascii="Times New Roman" w:hAnsi="Times New Roman" w:cs="Times New Roman"/>
        </w:rPr>
        <w:t xml:space="preserve"> est bien évidemment très générale et </w:t>
      </w:r>
      <w:r w:rsidR="00863F2E">
        <w:rPr>
          <w:rFonts w:ascii="Times New Roman" w:hAnsi="Times New Roman" w:cs="Times New Roman"/>
        </w:rPr>
        <w:t xml:space="preserve">demande </w:t>
      </w:r>
      <w:r w:rsidR="00092815">
        <w:rPr>
          <w:rFonts w:ascii="Times New Roman" w:hAnsi="Times New Roman" w:cs="Times New Roman"/>
        </w:rPr>
        <w:t xml:space="preserve">à </w:t>
      </w:r>
      <w:r>
        <w:rPr>
          <w:rFonts w:ascii="Times New Roman" w:hAnsi="Times New Roman" w:cs="Times New Roman"/>
        </w:rPr>
        <w:t>être clarifié</w:t>
      </w:r>
      <w:r w:rsidR="00863F2E">
        <w:rPr>
          <w:rFonts w:ascii="Times New Roman" w:hAnsi="Times New Roman" w:cs="Times New Roman"/>
        </w:rPr>
        <w:t>e</w:t>
      </w:r>
      <w:r>
        <w:rPr>
          <w:rFonts w:ascii="Times New Roman" w:hAnsi="Times New Roman" w:cs="Times New Roman"/>
        </w:rPr>
        <w:t>. À ce titre, Orsini, Morin et Young propose</w:t>
      </w:r>
      <w:r w:rsidR="00092815">
        <w:rPr>
          <w:rFonts w:ascii="Times New Roman" w:hAnsi="Times New Roman" w:cs="Times New Roman"/>
        </w:rPr>
        <w:t>nt</w:t>
      </w:r>
      <w:r>
        <w:rPr>
          <w:rFonts w:ascii="Times New Roman" w:hAnsi="Times New Roman" w:cs="Times New Roman"/>
        </w:rPr>
        <w:t xml:space="preserve"> une définition complémentaire </w:t>
      </w:r>
      <w:r w:rsidR="00ED53BF">
        <w:rPr>
          <w:rFonts w:ascii="Times New Roman" w:hAnsi="Times New Roman" w:cs="Times New Roman"/>
        </w:rPr>
        <w:t>qui facilite assurément l’utilisation du concept :</w:t>
      </w:r>
    </w:p>
    <w:p w14:paraId="72EA9B97" w14:textId="1530D985" w:rsidR="00EC1366" w:rsidRPr="00525D7F" w:rsidRDefault="00ED53BF" w:rsidP="00E17A63">
      <w:pPr>
        <w:spacing w:before="120" w:after="120"/>
        <w:ind w:left="709" w:right="709"/>
        <w:jc w:val="both"/>
        <w:rPr>
          <w:rFonts w:ascii="Times New Roman" w:hAnsi="Times New Roman" w:cs="Times New Roman"/>
          <w:i/>
          <w:sz w:val="20"/>
          <w:lang w:val="en-CA"/>
        </w:rPr>
      </w:pPr>
      <w:r w:rsidRPr="00ED53BF">
        <w:rPr>
          <w:rFonts w:ascii="Times New Roman" w:hAnsi="Times New Roman" w:cs="Times New Roman"/>
          <w:i/>
          <w:sz w:val="20"/>
          <w:lang w:val="en-CA"/>
        </w:rPr>
        <w:t xml:space="preserve">[A] </w:t>
      </w:r>
      <w:proofErr w:type="gramStart"/>
      <w:r w:rsidRPr="00ED53BF">
        <w:rPr>
          <w:rFonts w:ascii="Times New Roman" w:hAnsi="Times New Roman" w:cs="Times New Roman"/>
          <w:i/>
          <w:sz w:val="20"/>
          <w:lang w:val="en-CA"/>
        </w:rPr>
        <w:t>regime</w:t>
      </w:r>
      <w:proofErr w:type="gramEnd"/>
      <w:r w:rsidRPr="00ED53BF">
        <w:rPr>
          <w:rFonts w:ascii="Times New Roman" w:hAnsi="Times New Roman" w:cs="Times New Roman"/>
          <w:i/>
          <w:sz w:val="20"/>
          <w:lang w:val="en-CA"/>
        </w:rPr>
        <w:t xml:space="preserve"> complex [</w:t>
      </w:r>
      <w:proofErr w:type="spellStart"/>
      <w:r w:rsidRPr="00ED53BF">
        <w:rPr>
          <w:rFonts w:ascii="Times New Roman" w:hAnsi="Times New Roman" w:cs="Times New Roman"/>
          <w:i/>
          <w:sz w:val="20"/>
          <w:lang w:val="en-CA"/>
        </w:rPr>
        <w:t>i</w:t>
      </w:r>
      <w:proofErr w:type="spellEnd"/>
      <w:r w:rsidRPr="00ED53BF">
        <w:rPr>
          <w:rFonts w:ascii="Times New Roman" w:hAnsi="Times New Roman" w:cs="Times New Roman"/>
          <w:i/>
          <w:sz w:val="20"/>
          <w:lang w:val="en-CA"/>
        </w:rPr>
        <w:t>]s a network of three or more international regimes that relate to a common subject matter; exhibit over-lapping membership; and generate substantive, normative, or operative interactions recognized as potentially problematic whether or no</w:t>
      </w:r>
      <w:r w:rsidR="00562027">
        <w:rPr>
          <w:rFonts w:ascii="Times New Roman" w:hAnsi="Times New Roman" w:cs="Times New Roman"/>
          <w:i/>
          <w:sz w:val="20"/>
          <w:lang w:val="en-CA"/>
        </w:rPr>
        <w:t xml:space="preserve">t they are managed effectively </w:t>
      </w:r>
      <w:r w:rsidRPr="00525D7F">
        <w:rPr>
          <w:rFonts w:ascii="Times New Roman" w:hAnsi="Times New Roman" w:cs="Times New Roman"/>
          <w:sz w:val="20"/>
          <w:lang w:val="en-CA"/>
        </w:rPr>
        <w:t>(2013 : 29)</w:t>
      </w:r>
      <w:r w:rsidR="00562027" w:rsidRPr="00525D7F">
        <w:rPr>
          <w:rFonts w:ascii="Times New Roman" w:hAnsi="Times New Roman" w:cs="Times New Roman"/>
          <w:sz w:val="20"/>
          <w:lang w:val="en-CA"/>
        </w:rPr>
        <w:t>.</w:t>
      </w:r>
    </w:p>
    <w:p w14:paraId="531B3F25" w14:textId="177B7BF9" w:rsidR="00EA096E" w:rsidRDefault="00ED53BF" w:rsidP="00BA43F7">
      <w:pPr>
        <w:spacing w:before="120" w:after="120" w:line="360" w:lineRule="auto"/>
        <w:jc w:val="both"/>
        <w:rPr>
          <w:rFonts w:ascii="Times New Roman" w:eastAsia="Times New Roman" w:hAnsi="Times New Roman" w:cs="Times New Roman"/>
        </w:rPr>
      </w:pPr>
      <w:r w:rsidRPr="699002A2">
        <w:rPr>
          <w:rFonts w:ascii="Times New Roman" w:eastAsia="Times New Roman" w:hAnsi="Times New Roman" w:cs="Times New Roman"/>
        </w:rPr>
        <w:t>Sans répéter tous les éléments présents au se</w:t>
      </w:r>
      <w:r w:rsidR="00AA21D0">
        <w:rPr>
          <w:rFonts w:ascii="Times New Roman" w:eastAsia="Times New Roman" w:hAnsi="Times New Roman" w:cs="Times New Roman"/>
        </w:rPr>
        <w:t xml:space="preserve">in de ces deux définitions, deux </w:t>
      </w:r>
      <w:r w:rsidRPr="699002A2">
        <w:rPr>
          <w:rFonts w:ascii="Times New Roman" w:eastAsia="Times New Roman" w:hAnsi="Times New Roman" w:cs="Times New Roman"/>
        </w:rPr>
        <w:t xml:space="preserve">points </w:t>
      </w:r>
      <w:r w:rsidR="002E2C29" w:rsidRPr="699002A2">
        <w:rPr>
          <w:rFonts w:ascii="Times New Roman" w:eastAsia="Times New Roman" w:hAnsi="Times New Roman" w:cs="Times New Roman"/>
        </w:rPr>
        <w:t>valent la peine d’</w:t>
      </w:r>
      <w:r w:rsidRPr="699002A2">
        <w:rPr>
          <w:rFonts w:ascii="Times New Roman" w:eastAsia="Times New Roman" w:hAnsi="Times New Roman" w:cs="Times New Roman"/>
        </w:rPr>
        <w:t>être soulignés</w:t>
      </w:r>
      <w:r w:rsidR="00D0097D">
        <w:rPr>
          <w:rFonts w:ascii="Times New Roman" w:eastAsia="Times New Roman" w:hAnsi="Times New Roman" w:cs="Times New Roman"/>
        </w:rPr>
        <w:t xml:space="preserve"> aux fins de la présente recherche</w:t>
      </w:r>
      <w:r w:rsidRPr="699002A2">
        <w:rPr>
          <w:rFonts w:ascii="Times New Roman" w:eastAsia="Times New Roman" w:hAnsi="Times New Roman" w:cs="Times New Roman"/>
        </w:rPr>
        <w:t xml:space="preserve">. </w:t>
      </w:r>
      <w:r w:rsidR="00EA096E">
        <w:rPr>
          <w:rFonts w:ascii="Times New Roman" w:eastAsia="Times New Roman" w:hAnsi="Times New Roman" w:cs="Times New Roman"/>
        </w:rPr>
        <w:t xml:space="preserve">Le premier point, </w:t>
      </w:r>
      <w:r w:rsidR="00400766">
        <w:rPr>
          <w:rFonts w:ascii="Times New Roman" w:eastAsia="Times New Roman" w:hAnsi="Times New Roman" w:cs="Times New Roman"/>
        </w:rPr>
        <w:t xml:space="preserve">relativement </w:t>
      </w:r>
      <w:r w:rsidR="00EA096E">
        <w:rPr>
          <w:rFonts w:ascii="Times New Roman" w:eastAsia="Times New Roman" w:hAnsi="Times New Roman" w:cs="Times New Roman"/>
        </w:rPr>
        <w:t xml:space="preserve">évident, est que plusieurs régimes doivent exister pour qu’un complexe de régimes existe lui-même. En effet, le terme complexe n’est ici pas employé au sens de </w:t>
      </w:r>
      <w:r w:rsidR="00EA096E" w:rsidRPr="00AC4FC7">
        <w:rPr>
          <w:rFonts w:ascii="Times New Roman" w:eastAsia="Times New Roman" w:hAnsi="Times New Roman" w:cs="Times New Roman"/>
          <w:i/>
        </w:rPr>
        <w:t>compliqué</w:t>
      </w:r>
      <w:r w:rsidR="00EA096E">
        <w:rPr>
          <w:rFonts w:ascii="Times New Roman" w:eastAsia="Times New Roman" w:hAnsi="Times New Roman" w:cs="Times New Roman"/>
        </w:rPr>
        <w:t xml:space="preserve">, mais bien au sens d’un ensemble qui contient plusieurs éléments différents. L’étymologie du mot complexe provient d’ailleurs du terme latin </w:t>
      </w:r>
      <w:proofErr w:type="spellStart"/>
      <w:r w:rsidR="00EA096E" w:rsidRPr="00FC6556">
        <w:rPr>
          <w:rFonts w:ascii="Times New Roman" w:eastAsia="Times New Roman" w:hAnsi="Times New Roman" w:cs="Times New Roman"/>
          <w:i/>
          <w:iCs/>
          <w:lang w:val="fr-FR"/>
        </w:rPr>
        <w:t>complecti</w:t>
      </w:r>
      <w:proofErr w:type="spellEnd"/>
      <w:r w:rsidR="00EA096E">
        <w:rPr>
          <w:rFonts w:ascii="Times New Roman" w:eastAsia="Times New Roman" w:hAnsi="Times New Roman" w:cs="Times New Roman"/>
          <w:i/>
          <w:iCs/>
          <w:lang w:val="fr-FR"/>
        </w:rPr>
        <w:t xml:space="preserve"> </w:t>
      </w:r>
      <w:r w:rsidR="00EA096E">
        <w:rPr>
          <w:rFonts w:ascii="Times New Roman" w:eastAsia="Times New Roman" w:hAnsi="Times New Roman" w:cs="Times New Roman"/>
          <w:iCs/>
          <w:lang w:val="fr-FR"/>
        </w:rPr>
        <w:t xml:space="preserve">qui signifie contenir. </w:t>
      </w:r>
      <w:r w:rsidR="00EA096E">
        <w:rPr>
          <w:rFonts w:ascii="Times New Roman" w:eastAsia="Times New Roman" w:hAnsi="Times New Roman" w:cs="Times New Roman"/>
        </w:rPr>
        <w:t xml:space="preserve">Cette réflexion relativement </w:t>
      </w:r>
      <w:r w:rsidR="00EA096E">
        <w:rPr>
          <w:rFonts w:ascii="Times New Roman" w:eastAsia="Times New Roman" w:hAnsi="Times New Roman" w:cs="Times New Roman"/>
        </w:rPr>
        <w:lastRenderedPageBreak/>
        <w:t xml:space="preserve">tautologique, soit que plusieurs éléments doivent exister pour qu’un complexe existe, permet cependant d’introduire deux précisions très importantes pour la présente recherche. </w:t>
      </w:r>
    </w:p>
    <w:p w14:paraId="57524176" w14:textId="774FB541" w:rsidR="00EA096E" w:rsidRDefault="00EA096E"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Premièreme</w:t>
      </w:r>
      <w:r w:rsidR="001D0693">
        <w:rPr>
          <w:rFonts w:ascii="Times New Roman" w:eastAsia="Times New Roman" w:hAnsi="Times New Roman" w:cs="Times New Roman"/>
        </w:rPr>
        <w:t>nt, un lecteur averti aura remarqué</w:t>
      </w:r>
      <w:r>
        <w:rPr>
          <w:rFonts w:ascii="Times New Roman" w:eastAsia="Times New Roman" w:hAnsi="Times New Roman" w:cs="Times New Roman"/>
        </w:rPr>
        <w:t xml:space="preserve"> qu’une contradiction peut sembler s’être introduite dans le présent argumentaire puisqu’il a déjà été soutenu que le droit international des investissements se développait au sein d’un régime. Quel est alors l’intérêt de discuter</w:t>
      </w:r>
      <w:r w:rsidR="00781769">
        <w:rPr>
          <w:rFonts w:ascii="Times New Roman" w:eastAsia="Times New Roman" w:hAnsi="Times New Roman" w:cs="Times New Roman"/>
        </w:rPr>
        <w:t xml:space="preserve"> de</w:t>
      </w:r>
      <w:r>
        <w:rPr>
          <w:rFonts w:ascii="Times New Roman" w:eastAsia="Times New Roman" w:hAnsi="Times New Roman" w:cs="Times New Roman"/>
        </w:rPr>
        <w:t xml:space="preserve"> la théorie des complexes de régime s’il n’existe qu’un seul régime ?</w:t>
      </w:r>
    </w:p>
    <w:p w14:paraId="09A62F9A" w14:textId="280A535E" w:rsidR="00EA096E" w:rsidRDefault="00EA096E"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Tel que cela a déjà été souligné, les balises exactes d’un régime sont souvent difficiles à tracer. La présente recherche </w:t>
      </w:r>
      <w:r w:rsidR="00AC4FC7">
        <w:rPr>
          <w:rFonts w:ascii="Times New Roman" w:eastAsia="Times New Roman" w:hAnsi="Times New Roman" w:cs="Times New Roman"/>
        </w:rPr>
        <w:t>adopte</w:t>
      </w:r>
      <w:r>
        <w:rPr>
          <w:rFonts w:ascii="Times New Roman" w:eastAsia="Times New Roman" w:hAnsi="Times New Roman" w:cs="Times New Roman"/>
        </w:rPr>
        <w:t xml:space="preserve"> toutefois le point de vue qu’il existe un régime des investissements puisque certains principes clés, mentionnés précédemment, sont généralement partagés par les différents acteurs au sein de celui-ci. La variation dans les règles au sein des traités ou au sein des décisions rendues par différe</w:t>
      </w:r>
      <w:r w:rsidR="00AC4FC7">
        <w:rPr>
          <w:rFonts w:ascii="Times New Roman" w:eastAsia="Times New Roman" w:hAnsi="Times New Roman" w:cs="Times New Roman"/>
        </w:rPr>
        <w:t>nts tribunaux arbitraux relève</w:t>
      </w:r>
      <w:r>
        <w:rPr>
          <w:rFonts w:ascii="Times New Roman" w:eastAsia="Times New Roman" w:hAnsi="Times New Roman" w:cs="Times New Roman"/>
        </w:rPr>
        <w:t xml:space="preserve"> davantage de la variation des règles ou des processus de décision que des principes sous-jacents au régime des investissements. Il devrait </w:t>
      </w:r>
      <w:r w:rsidR="00AC4FC7">
        <w:rPr>
          <w:rFonts w:ascii="Times New Roman" w:eastAsia="Times New Roman" w:hAnsi="Times New Roman" w:cs="Times New Roman"/>
        </w:rPr>
        <w:t>dès lors</w:t>
      </w:r>
      <w:r>
        <w:rPr>
          <w:rFonts w:ascii="Times New Roman" w:eastAsia="Times New Roman" w:hAnsi="Times New Roman" w:cs="Times New Roman"/>
        </w:rPr>
        <w:t xml:space="preserve"> être question de variation</w:t>
      </w:r>
      <w:r w:rsidR="00956750">
        <w:rPr>
          <w:rFonts w:ascii="Times New Roman" w:eastAsia="Times New Roman" w:hAnsi="Times New Roman" w:cs="Times New Roman"/>
        </w:rPr>
        <w:t>s</w:t>
      </w:r>
      <w:r>
        <w:rPr>
          <w:rFonts w:ascii="Times New Roman" w:eastAsia="Times New Roman" w:hAnsi="Times New Roman" w:cs="Times New Roman"/>
        </w:rPr>
        <w:t xml:space="preserve"> intra-régime (</w:t>
      </w:r>
      <w:proofErr w:type="spellStart"/>
      <w:r>
        <w:rPr>
          <w:rFonts w:ascii="Times New Roman" w:eastAsia="Times New Roman" w:hAnsi="Times New Roman" w:cs="Times New Roman"/>
        </w:rPr>
        <w:t>Krasn</w:t>
      </w:r>
      <w:r w:rsidR="00254823">
        <w:rPr>
          <w:rFonts w:ascii="Times New Roman" w:eastAsia="Times New Roman" w:hAnsi="Times New Roman" w:cs="Times New Roman"/>
        </w:rPr>
        <w:t>er</w:t>
      </w:r>
      <w:proofErr w:type="spellEnd"/>
      <w:r>
        <w:rPr>
          <w:rFonts w:ascii="Times New Roman" w:eastAsia="Times New Roman" w:hAnsi="Times New Roman" w:cs="Times New Roman"/>
        </w:rPr>
        <w:t xml:space="preserve"> 1982 : 187-189)</w:t>
      </w:r>
    </w:p>
    <w:p w14:paraId="3A283DD5" w14:textId="7872EEEF" w:rsidR="00740E09" w:rsidRDefault="00781769"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Toutefois, l</w:t>
      </w:r>
      <w:r w:rsidR="00EA096E">
        <w:rPr>
          <w:rFonts w:ascii="Times New Roman" w:eastAsia="Times New Roman" w:hAnsi="Times New Roman" w:cs="Times New Roman"/>
        </w:rPr>
        <w:t>’élément nouveau au sein de la théorie des complexes de régimes n’est pas du côté des régimes, mais bien</w:t>
      </w:r>
      <w:r>
        <w:rPr>
          <w:rFonts w:ascii="Times New Roman" w:eastAsia="Times New Roman" w:hAnsi="Times New Roman" w:cs="Times New Roman"/>
        </w:rPr>
        <w:t xml:space="preserve"> du côté de l’existence d’un </w:t>
      </w:r>
      <w:r w:rsidR="00EA096E">
        <w:rPr>
          <w:rFonts w:ascii="Times New Roman" w:eastAsia="Times New Roman" w:hAnsi="Times New Roman" w:cs="Times New Roman"/>
        </w:rPr>
        <w:t xml:space="preserve">complexe. L’apport de l’approche proposée par </w:t>
      </w:r>
      <w:proofErr w:type="spellStart"/>
      <w:r w:rsidR="00EA096E">
        <w:rPr>
          <w:rFonts w:ascii="Times New Roman" w:eastAsia="Times New Roman" w:hAnsi="Times New Roman" w:cs="Times New Roman"/>
        </w:rPr>
        <w:t>Raustiala</w:t>
      </w:r>
      <w:proofErr w:type="spellEnd"/>
      <w:r w:rsidR="00EA096E">
        <w:rPr>
          <w:rFonts w:ascii="Times New Roman" w:eastAsia="Times New Roman" w:hAnsi="Times New Roman" w:cs="Times New Roman"/>
        </w:rPr>
        <w:t xml:space="preserve"> et Victor est de reconnaître que l’interaction entre diverses institutions aux objectifs, </w:t>
      </w:r>
      <w:r w:rsidR="00AC4FC7">
        <w:rPr>
          <w:rFonts w:ascii="Times New Roman" w:eastAsia="Times New Roman" w:hAnsi="Times New Roman" w:cs="Times New Roman"/>
        </w:rPr>
        <w:t xml:space="preserve">aux </w:t>
      </w:r>
      <w:r w:rsidR="00EA096E">
        <w:rPr>
          <w:rFonts w:ascii="Times New Roman" w:eastAsia="Times New Roman" w:hAnsi="Times New Roman" w:cs="Times New Roman"/>
        </w:rPr>
        <w:t xml:space="preserve">valeurs et </w:t>
      </w:r>
      <w:r w:rsidR="00AC4FC7">
        <w:rPr>
          <w:rFonts w:ascii="Times New Roman" w:eastAsia="Times New Roman" w:hAnsi="Times New Roman" w:cs="Times New Roman"/>
        </w:rPr>
        <w:t xml:space="preserve">aux </w:t>
      </w:r>
      <w:r w:rsidR="00EA096E">
        <w:rPr>
          <w:rFonts w:ascii="Times New Roman" w:eastAsia="Times New Roman" w:hAnsi="Times New Roman" w:cs="Times New Roman"/>
        </w:rPr>
        <w:t xml:space="preserve">modes de fonctionnement différents </w:t>
      </w:r>
      <w:r w:rsidR="0062488A">
        <w:rPr>
          <w:rFonts w:ascii="Times New Roman" w:eastAsia="Times New Roman" w:hAnsi="Times New Roman" w:cs="Times New Roman"/>
        </w:rPr>
        <w:t>traita</w:t>
      </w:r>
      <w:r w:rsidR="00EA096E">
        <w:rPr>
          <w:rFonts w:ascii="Times New Roman" w:eastAsia="Times New Roman" w:hAnsi="Times New Roman" w:cs="Times New Roman"/>
        </w:rPr>
        <w:t>nt d’un même sujet a des implications</w:t>
      </w:r>
      <w:r w:rsidR="00AC4FC7">
        <w:rPr>
          <w:rFonts w:ascii="Times New Roman" w:eastAsia="Times New Roman" w:hAnsi="Times New Roman" w:cs="Times New Roman"/>
        </w:rPr>
        <w:t xml:space="preserve"> qui,</w:t>
      </w:r>
      <w:r w:rsidR="00EA096E">
        <w:rPr>
          <w:rFonts w:ascii="Times New Roman" w:eastAsia="Times New Roman" w:hAnsi="Times New Roman" w:cs="Times New Roman"/>
        </w:rPr>
        <w:t xml:space="preserve"> auparavant</w:t>
      </w:r>
      <w:r w:rsidR="00AC4FC7">
        <w:rPr>
          <w:rFonts w:ascii="Times New Roman" w:eastAsia="Times New Roman" w:hAnsi="Times New Roman" w:cs="Times New Roman"/>
        </w:rPr>
        <w:t xml:space="preserve">, n’étaient pas </w:t>
      </w:r>
      <w:r w:rsidR="00EA096E">
        <w:rPr>
          <w:rFonts w:ascii="Times New Roman" w:eastAsia="Times New Roman" w:hAnsi="Times New Roman" w:cs="Times New Roman"/>
        </w:rPr>
        <w:t xml:space="preserve">analysées. </w:t>
      </w:r>
      <w:r w:rsidR="00740E09">
        <w:rPr>
          <w:rFonts w:ascii="Times New Roman" w:eastAsia="Times New Roman" w:hAnsi="Times New Roman" w:cs="Times New Roman"/>
        </w:rPr>
        <w:t>Il pourrait d’ailleurs être tout aussi bien question d’un système complexe au lieu d’u</w:t>
      </w:r>
      <w:r w:rsidR="00254823">
        <w:rPr>
          <w:rFonts w:ascii="Times New Roman" w:eastAsia="Times New Roman" w:hAnsi="Times New Roman" w:cs="Times New Roman"/>
        </w:rPr>
        <w:t>n complexe de régimes (</w:t>
      </w:r>
      <w:proofErr w:type="spellStart"/>
      <w:r w:rsidR="00254823">
        <w:rPr>
          <w:rFonts w:ascii="Times New Roman" w:eastAsia="Times New Roman" w:hAnsi="Times New Roman" w:cs="Times New Roman"/>
        </w:rPr>
        <w:t>Pauwelyn</w:t>
      </w:r>
      <w:proofErr w:type="spellEnd"/>
      <w:r w:rsidR="00740E09">
        <w:rPr>
          <w:rFonts w:ascii="Times New Roman" w:eastAsia="Times New Roman" w:hAnsi="Times New Roman" w:cs="Times New Roman"/>
        </w:rPr>
        <w:t xml:space="preserve"> 2014). Ainsi, la</w:t>
      </w:r>
      <w:r w:rsidR="00EA096E">
        <w:rPr>
          <w:rFonts w:ascii="Times New Roman" w:eastAsia="Times New Roman" w:hAnsi="Times New Roman" w:cs="Times New Roman"/>
        </w:rPr>
        <w:t xml:space="preserve"> </w:t>
      </w:r>
      <w:r w:rsidR="0062488A">
        <w:rPr>
          <w:rFonts w:ascii="Times New Roman" w:eastAsia="Times New Roman" w:hAnsi="Times New Roman" w:cs="Times New Roman"/>
        </w:rPr>
        <w:t xml:space="preserve">présente recherche soutient </w:t>
      </w:r>
      <w:r w:rsidR="00EA096E">
        <w:rPr>
          <w:rFonts w:ascii="Times New Roman" w:eastAsia="Times New Roman" w:hAnsi="Times New Roman" w:cs="Times New Roman"/>
        </w:rPr>
        <w:t>qu’il est</w:t>
      </w:r>
      <w:r w:rsidR="0062488A">
        <w:rPr>
          <w:rFonts w:ascii="Times New Roman" w:eastAsia="Times New Roman" w:hAnsi="Times New Roman" w:cs="Times New Roman"/>
        </w:rPr>
        <w:t xml:space="preserve"> </w:t>
      </w:r>
      <w:r w:rsidR="00740E09">
        <w:rPr>
          <w:rFonts w:ascii="Times New Roman" w:eastAsia="Times New Roman" w:hAnsi="Times New Roman" w:cs="Times New Roman"/>
        </w:rPr>
        <w:t>possible de percevoir le</w:t>
      </w:r>
      <w:r w:rsidR="00EA096E">
        <w:rPr>
          <w:rFonts w:ascii="Times New Roman" w:eastAsia="Times New Roman" w:hAnsi="Times New Roman" w:cs="Times New Roman"/>
        </w:rPr>
        <w:t xml:space="preserve"> régime </w:t>
      </w:r>
      <w:r w:rsidR="00740E09">
        <w:rPr>
          <w:rFonts w:ascii="Times New Roman" w:eastAsia="Times New Roman" w:hAnsi="Times New Roman" w:cs="Times New Roman"/>
        </w:rPr>
        <w:t xml:space="preserve">des investissements </w:t>
      </w:r>
      <w:r w:rsidR="00EA096E">
        <w:rPr>
          <w:rFonts w:ascii="Times New Roman" w:eastAsia="Times New Roman" w:hAnsi="Times New Roman" w:cs="Times New Roman"/>
        </w:rPr>
        <w:t xml:space="preserve">comme un complexe d’institutions. </w:t>
      </w:r>
    </w:p>
    <w:p w14:paraId="1FA017E3" w14:textId="12840B27" w:rsidR="00781769" w:rsidRDefault="00781769"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Le terme institution est ici compris comme des arrangements explicites ou non qui prescrivent un certain c</w:t>
      </w:r>
      <w:r w:rsidRPr="00562027">
        <w:rPr>
          <w:rFonts w:ascii="Times New Roman" w:eastAsia="Times New Roman" w:hAnsi="Times New Roman" w:cs="Times New Roman"/>
        </w:rPr>
        <w:t>omportement :</w:t>
      </w:r>
      <w:r w:rsidR="00562027" w:rsidRPr="00562027">
        <w:rPr>
          <w:rFonts w:ascii="Times New Roman" w:eastAsia="Times New Roman" w:hAnsi="Times New Roman" w:cs="Times New Roman"/>
        </w:rPr>
        <w:t xml:space="preserve"> </w:t>
      </w:r>
      <w:r w:rsidRPr="00562027">
        <w:rPr>
          <w:rFonts w:ascii="Times New Roman" w:eastAsia="Times New Roman" w:hAnsi="Times New Roman" w:cs="Times New Roman"/>
          <w:i/>
        </w:rPr>
        <w:t xml:space="preserve">[Institutions are] explicit arrangements, </w:t>
      </w:r>
      <w:proofErr w:type="spellStart"/>
      <w:r w:rsidRPr="00562027">
        <w:rPr>
          <w:rFonts w:ascii="Times New Roman" w:eastAsia="Times New Roman" w:hAnsi="Times New Roman" w:cs="Times New Roman"/>
          <w:i/>
        </w:rPr>
        <w:t>negotiated</w:t>
      </w:r>
      <w:proofErr w:type="spellEnd"/>
      <w:r w:rsidRPr="00562027">
        <w:rPr>
          <w:rFonts w:ascii="Times New Roman" w:eastAsia="Times New Roman" w:hAnsi="Times New Roman" w:cs="Times New Roman"/>
          <w:i/>
        </w:rPr>
        <w:t xml:space="preserve"> </w:t>
      </w:r>
      <w:proofErr w:type="spellStart"/>
      <w:r w:rsidRPr="00562027">
        <w:rPr>
          <w:rFonts w:ascii="Times New Roman" w:eastAsia="Times New Roman" w:hAnsi="Times New Roman" w:cs="Times New Roman"/>
          <w:i/>
        </w:rPr>
        <w:t>among</w:t>
      </w:r>
      <w:proofErr w:type="spellEnd"/>
      <w:r w:rsidRPr="00562027">
        <w:rPr>
          <w:rFonts w:ascii="Times New Roman" w:eastAsia="Times New Roman" w:hAnsi="Times New Roman" w:cs="Times New Roman"/>
          <w:i/>
        </w:rPr>
        <w:t xml:space="preserve"> international </w:t>
      </w:r>
      <w:proofErr w:type="spellStart"/>
      <w:r w:rsidRPr="00562027">
        <w:rPr>
          <w:rFonts w:ascii="Times New Roman" w:eastAsia="Times New Roman" w:hAnsi="Times New Roman" w:cs="Times New Roman"/>
          <w:i/>
        </w:rPr>
        <w:t>actors</w:t>
      </w:r>
      <w:proofErr w:type="spellEnd"/>
      <w:r w:rsidRPr="00562027">
        <w:rPr>
          <w:rFonts w:ascii="Times New Roman" w:eastAsia="Times New Roman" w:hAnsi="Times New Roman" w:cs="Times New Roman"/>
          <w:i/>
        </w:rPr>
        <w:t xml:space="preserve">, </w:t>
      </w:r>
      <w:proofErr w:type="spellStart"/>
      <w:r w:rsidRPr="00562027">
        <w:rPr>
          <w:rFonts w:ascii="Times New Roman" w:eastAsia="Times New Roman" w:hAnsi="Times New Roman" w:cs="Times New Roman"/>
          <w:i/>
        </w:rPr>
        <w:t>that</w:t>
      </w:r>
      <w:proofErr w:type="spellEnd"/>
      <w:r w:rsidRPr="00562027">
        <w:rPr>
          <w:rFonts w:ascii="Times New Roman" w:eastAsia="Times New Roman" w:hAnsi="Times New Roman" w:cs="Times New Roman"/>
          <w:i/>
        </w:rPr>
        <w:t xml:space="preserve"> </w:t>
      </w:r>
      <w:proofErr w:type="spellStart"/>
      <w:r w:rsidRPr="00562027">
        <w:rPr>
          <w:rFonts w:ascii="Times New Roman" w:eastAsia="Times New Roman" w:hAnsi="Times New Roman" w:cs="Times New Roman"/>
          <w:i/>
        </w:rPr>
        <w:t>prescribe</w:t>
      </w:r>
      <w:proofErr w:type="spellEnd"/>
      <w:r w:rsidRPr="00562027">
        <w:rPr>
          <w:rFonts w:ascii="Times New Roman" w:eastAsia="Times New Roman" w:hAnsi="Times New Roman" w:cs="Times New Roman"/>
          <w:i/>
        </w:rPr>
        <w:t xml:space="preserve">, </w:t>
      </w:r>
      <w:proofErr w:type="spellStart"/>
      <w:r w:rsidRPr="00562027">
        <w:rPr>
          <w:rFonts w:ascii="Times New Roman" w:eastAsia="Times New Roman" w:hAnsi="Times New Roman" w:cs="Times New Roman"/>
          <w:i/>
        </w:rPr>
        <w:t>proscribe</w:t>
      </w:r>
      <w:proofErr w:type="spellEnd"/>
      <w:r w:rsidRPr="00562027">
        <w:rPr>
          <w:rFonts w:ascii="Times New Roman" w:eastAsia="Times New Roman" w:hAnsi="Times New Roman" w:cs="Times New Roman"/>
          <w:i/>
        </w:rPr>
        <w:t xml:space="preserve">, and/or </w:t>
      </w:r>
      <w:proofErr w:type="spellStart"/>
      <w:r w:rsidRPr="00562027">
        <w:rPr>
          <w:rFonts w:ascii="Times New Roman" w:eastAsia="Times New Roman" w:hAnsi="Times New Roman" w:cs="Times New Roman"/>
          <w:i/>
        </w:rPr>
        <w:t>authorize</w:t>
      </w:r>
      <w:proofErr w:type="spellEnd"/>
      <w:r w:rsidRPr="00562027">
        <w:rPr>
          <w:rFonts w:ascii="Times New Roman" w:eastAsia="Times New Roman" w:hAnsi="Times New Roman" w:cs="Times New Roman"/>
          <w:i/>
        </w:rPr>
        <w:t xml:space="preserve"> </w:t>
      </w:r>
      <w:proofErr w:type="spellStart"/>
      <w:r w:rsidRPr="00562027">
        <w:rPr>
          <w:rFonts w:ascii="Times New Roman" w:eastAsia="Times New Roman" w:hAnsi="Times New Roman" w:cs="Times New Roman"/>
          <w:i/>
        </w:rPr>
        <w:t>behavior</w:t>
      </w:r>
      <w:proofErr w:type="spellEnd"/>
      <w:r w:rsidR="00482AF7" w:rsidRPr="00562027">
        <w:rPr>
          <w:rFonts w:ascii="Times New Roman" w:eastAsia="Times New Roman" w:hAnsi="Times New Roman" w:cs="Times New Roman"/>
          <w:i/>
        </w:rPr>
        <w:t xml:space="preserve"> </w:t>
      </w:r>
      <w:r w:rsidR="00254823">
        <w:rPr>
          <w:rFonts w:ascii="Times New Roman" w:eastAsia="Times New Roman" w:hAnsi="Times New Roman" w:cs="Times New Roman"/>
        </w:rPr>
        <w:t>(</w:t>
      </w:r>
      <w:proofErr w:type="spellStart"/>
      <w:r w:rsidR="00FC4082">
        <w:rPr>
          <w:rFonts w:ascii="Times New Roman" w:eastAsia="Times New Roman" w:hAnsi="Times New Roman" w:cs="Times New Roman"/>
        </w:rPr>
        <w:t>Koremenos</w:t>
      </w:r>
      <w:proofErr w:type="spellEnd"/>
      <w:r w:rsidR="00FC4082">
        <w:rPr>
          <w:rFonts w:ascii="Times New Roman" w:eastAsia="Times New Roman" w:hAnsi="Times New Roman" w:cs="Times New Roman"/>
        </w:rPr>
        <w:t xml:space="preserve"> </w:t>
      </w:r>
      <w:r w:rsidR="00FC4082">
        <w:rPr>
          <w:rFonts w:ascii="Times New Roman" w:eastAsia="Times New Roman" w:hAnsi="Times New Roman" w:cs="Times New Roman"/>
          <w:i/>
        </w:rPr>
        <w:t>et al.</w:t>
      </w:r>
      <w:r w:rsidR="00482AF7" w:rsidRPr="00562027">
        <w:rPr>
          <w:rFonts w:ascii="Times New Roman" w:eastAsia="Times New Roman" w:hAnsi="Times New Roman" w:cs="Times New Roman"/>
        </w:rPr>
        <w:t xml:space="preserve"> 2001 :</w:t>
      </w:r>
      <w:r w:rsidR="00FC4082">
        <w:rPr>
          <w:rFonts w:ascii="Times New Roman" w:eastAsia="Times New Roman" w:hAnsi="Times New Roman" w:cs="Times New Roman"/>
        </w:rPr>
        <w:t xml:space="preserve"> </w:t>
      </w:r>
      <w:r w:rsidR="00482AF7" w:rsidRPr="00562027">
        <w:rPr>
          <w:rFonts w:ascii="Times New Roman" w:eastAsia="Times New Roman" w:hAnsi="Times New Roman" w:cs="Times New Roman"/>
        </w:rPr>
        <w:t>762)</w:t>
      </w:r>
      <w:r w:rsidR="00562027" w:rsidRPr="00562027">
        <w:rPr>
          <w:rFonts w:ascii="Times New Roman" w:eastAsia="Times New Roman" w:hAnsi="Times New Roman" w:cs="Times New Roman"/>
        </w:rPr>
        <w:t>.</w:t>
      </w:r>
      <w:r w:rsidR="00740E09">
        <w:rPr>
          <w:rFonts w:ascii="Times New Roman" w:eastAsia="Times New Roman" w:hAnsi="Times New Roman" w:cs="Times New Roman"/>
        </w:rPr>
        <w:t xml:space="preserve"> </w:t>
      </w:r>
      <w:r w:rsidR="00EA096E">
        <w:rPr>
          <w:rFonts w:ascii="Times New Roman" w:eastAsia="Times New Roman" w:hAnsi="Times New Roman" w:cs="Times New Roman"/>
        </w:rPr>
        <w:t xml:space="preserve">Ce </w:t>
      </w:r>
      <w:r w:rsidR="00740E09">
        <w:rPr>
          <w:rFonts w:ascii="Times New Roman" w:eastAsia="Times New Roman" w:hAnsi="Times New Roman" w:cs="Times New Roman"/>
        </w:rPr>
        <w:t>terme est donc relativement vague et peut d’ailleurs</w:t>
      </w:r>
      <w:r w:rsidR="00482AF7">
        <w:rPr>
          <w:rFonts w:ascii="Times New Roman" w:eastAsia="Times New Roman" w:hAnsi="Times New Roman" w:cs="Times New Roman"/>
        </w:rPr>
        <w:t xml:space="preserve"> </w:t>
      </w:r>
      <w:r w:rsidR="00400766">
        <w:rPr>
          <w:rFonts w:ascii="Times New Roman" w:eastAsia="Times New Roman" w:hAnsi="Times New Roman" w:cs="Times New Roman"/>
        </w:rPr>
        <w:t>comprendre</w:t>
      </w:r>
      <w:r w:rsidR="00482AF7">
        <w:rPr>
          <w:rFonts w:ascii="Times New Roman" w:eastAsia="Times New Roman" w:hAnsi="Times New Roman" w:cs="Times New Roman"/>
        </w:rPr>
        <w:t xml:space="preserve"> le concept de régime. Plusieurs auteurs semblent d’ailleurs utiliser de manière interchan</w:t>
      </w:r>
      <w:r w:rsidR="00254823">
        <w:rPr>
          <w:rFonts w:ascii="Times New Roman" w:eastAsia="Times New Roman" w:hAnsi="Times New Roman" w:cs="Times New Roman"/>
        </w:rPr>
        <w:t>geable ces deux termes (</w:t>
      </w:r>
      <w:proofErr w:type="spellStart"/>
      <w:r w:rsidR="00254823">
        <w:rPr>
          <w:rFonts w:ascii="Times New Roman" w:eastAsia="Times New Roman" w:hAnsi="Times New Roman" w:cs="Times New Roman"/>
        </w:rPr>
        <w:t>Krasner</w:t>
      </w:r>
      <w:proofErr w:type="spellEnd"/>
      <w:r w:rsidR="00482AF7">
        <w:rPr>
          <w:rFonts w:ascii="Times New Roman" w:eastAsia="Times New Roman" w:hAnsi="Times New Roman" w:cs="Times New Roman"/>
        </w:rPr>
        <w:t xml:space="preserve"> 1982; </w:t>
      </w:r>
      <w:proofErr w:type="spellStart"/>
      <w:r w:rsidR="00482AF7">
        <w:rPr>
          <w:rFonts w:ascii="Times New Roman" w:eastAsia="Times New Roman" w:hAnsi="Times New Roman" w:cs="Times New Roman"/>
        </w:rPr>
        <w:t>Rau</w:t>
      </w:r>
      <w:r w:rsidR="00FC4082">
        <w:rPr>
          <w:rFonts w:ascii="Times New Roman" w:eastAsia="Times New Roman" w:hAnsi="Times New Roman" w:cs="Times New Roman"/>
        </w:rPr>
        <w:t>stiala</w:t>
      </w:r>
      <w:proofErr w:type="spellEnd"/>
      <w:r w:rsidR="00FC4082">
        <w:rPr>
          <w:rFonts w:ascii="Times New Roman" w:eastAsia="Times New Roman" w:hAnsi="Times New Roman" w:cs="Times New Roman"/>
        </w:rPr>
        <w:t xml:space="preserve"> et Victor</w:t>
      </w:r>
      <w:r w:rsidR="00254823">
        <w:rPr>
          <w:rFonts w:ascii="Times New Roman" w:eastAsia="Times New Roman" w:hAnsi="Times New Roman" w:cs="Times New Roman"/>
        </w:rPr>
        <w:t xml:space="preserve"> 2004; </w:t>
      </w:r>
      <w:proofErr w:type="spellStart"/>
      <w:r w:rsidR="00254823">
        <w:rPr>
          <w:rFonts w:ascii="Times New Roman" w:eastAsia="Times New Roman" w:hAnsi="Times New Roman" w:cs="Times New Roman"/>
        </w:rPr>
        <w:t>Duffield</w:t>
      </w:r>
      <w:proofErr w:type="spellEnd"/>
      <w:r w:rsidR="00482AF7">
        <w:rPr>
          <w:rFonts w:ascii="Times New Roman" w:eastAsia="Times New Roman" w:hAnsi="Times New Roman" w:cs="Times New Roman"/>
        </w:rPr>
        <w:t xml:space="preserve"> 2007; </w:t>
      </w:r>
      <w:proofErr w:type="spellStart"/>
      <w:r w:rsidR="00254823">
        <w:rPr>
          <w:rFonts w:ascii="Times New Roman" w:eastAsia="Times New Roman" w:hAnsi="Times New Roman" w:cs="Times New Roman"/>
        </w:rPr>
        <w:t>Betts</w:t>
      </w:r>
      <w:proofErr w:type="spellEnd"/>
      <w:r w:rsidR="001D0693">
        <w:rPr>
          <w:rFonts w:ascii="Times New Roman" w:eastAsia="Times New Roman" w:hAnsi="Times New Roman" w:cs="Times New Roman"/>
        </w:rPr>
        <w:t xml:space="preserve"> 2010; </w:t>
      </w:r>
      <w:r w:rsidR="00254823">
        <w:rPr>
          <w:rFonts w:ascii="Times New Roman" w:eastAsia="Times New Roman" w:hAnsi="Times New Roman" w:cs="Times New Roman"/>
        </w:rPr>
        <w:t>Meunier et Morin</w:t>
      </w:r>
      <w:r w:rsidR="00482AF7">
        <w:rPr>
          <w:rFonts w:ascii="Times New Roman" w:eastAsia="Times New Roman" w:hAnsi="Times New Roman" w:cs="Times New Roman"/>
        </w:rPr>
        <w:t xml:space="preserve"> 2014). Le </w:t>
      </w:r>
      <w:r w:rsidR="00EA096E">
        <w:rPr>
          <w:rFonts w:ascii="Times New Roman" w:eastAsia="Times New Roman" w:hAnsi="Times New Roman" w:cs="Times New Roman"/>
        </w:rPr>
        <w:t xml:space="preserve">choix ontologique </w:t>
      </w:r>
      <w:r w:rsidR="00482AF7">
        <w:rPr>
          <w:rFonts w:ascii="Times New Roman" w:eastAsia="Times New Roman" w:hAnsi="Times New Roman" w:cs="Times New Roman"/>
        </w:rPr>
        <w:t xml:space="preserve">de s’intéresser à un complexe d’institutions au sein d’un régime </w:t>
      </w:r>
      <w:r w:rsidR="00EA096E">
        <w:rPr>
          <w:rFonts w:ascii="Times New Roman" w:eastAsia="Times New Roman" w:hAnsi="Times New Roman" w:cs="Times New Roman"/>
        </w:rPr>
        <w:t xml:space="preserve">n’enlève </w:t>
      </w:r>
      <w:r>
        <w:rPr>
          <w:rFonts w:ascii="Times New Roman" w:eastAsia="Times New Roman" w:hAnsi="Times New Roman" w:cs="Times New Roman"/>
        </w:rPr>
        <w:t xml:space="preserve">donc </w:t>
      </w:r>
      <w:r w:rsidR="00EA096E">
        <w:rPr>
          <w:rFonts w:ascii="Times New Roman" w:eastAsia="Times New Roman" w:hAnsi="Times New Roman" w:cs="Times New Roman"/>
        </w:rPr>
        <w:t xml:space="preserve">rien à l’intérêt de la théorie de </w:t>
      </w:r>
      <w:proofErr w:type="spellStart"/>
      <w:r w:rsidR="00EA096E">
        <w:rPr>
          <w:rFonts w:ascii="Times New Roman" w:eastAsia="Times New Roman" w:hAnsi="Times New Roman" w:cs="Times New Roman"/>
        </w:rPr>
        <w:t>Raustiala</w:t>
      </w:r>
      <w:proofErr w:type="spellEnd"/>
      <w:r w:rsidR="00EA096E">
        <w:rPr>
          <w:rFonts w:ascii="Times New Roman" w:eastAsia="Times New Roman" w:hAnsi="Times New Roman" w:cs="Times New Roman"/>
        </w:rPr>
        <w:t xml:space="preserve"> et Victor et vise simplement à avoir une approche </w:t>
      </w:r>
      <w:r w:rsidR="00AC4FC7">
        <w:rPr>
          <w:rFonts w:ascii="Times New Roman" w:eastAsia="Times New Roman" w:hAnsi="Times New Roman" w:cs="Times New Roman"/>
        </w:rPr>
        <w:t>davantage</w:t>
      </w:r>
      <w:r w:rsidR="00EA096E">
        <w:rPr>
          <w:rFonts w:ascii="Times New Roman" w:eastAsia="Times New Roman" w:hAnsi="Times New Roman" w:cs="Times New Roman"/>
        </w:rPr>
        <w:t xml:space="preserve"> micro que macro. </w:t>
      </w:r>
    </w:p>
    <w:p w14:paraId="477CD15B" w14:textId="4CA418B4" w:rsidR="00EA096E" w:rsidRDefault="00781769"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Dans le cas du régi</w:t>
      </w:r>
      <w:r w:rsidR="00482AF7">
        <w:rPr>
          <w:rFonts w:ascii="Times New Roman" w:eastAsia="Times New Roman" w:hAnsi="Times New Roman" w:cs="Times New Roman"/>
        </w:rPr>
        <w:t xml:space="preserve">me des investissements, cela </w:t>
      </w:r>
      <w:r>
        <w:rPr>
          <w:rFonts w:ascii="Times New Roman" w:eastAsia="Times New Roman" w:hAnsi="Times New Roman" w:cs="Times New Roman"/>
        </w:rPr>
        <w:t>semble tout à fait pertinent puisque comme cela a été présenté en introduction, le nombre d’in</w:t>
      </w:r>
      <w:r w:rsidR="00482AF7">
        <w:rPr>
          <w:rFonts w:ascii="Times New Roman" w:eastAsia="Times New Roman" w:hAnsi="Times New Roman" w:cs="Times New Roman"/>
        </w:rPr>
        <w:t xml:space="preserve">stitutions présentes au sein de ce régime est assez impressionnant. La simple existence de plus de 3 000 traités bilatéraux d’investissement suffit à s’en convaincre! </w:t>
      </w:r>
      <w:r w:rsidR="006F79DB">
        <w:rPr>
          <w:rFonts w:ascii="Times New Roman" w:eastAsia="Times New Roman" w:hAnsi="Times New Roman" w:cs="Times New Roman"/>
        </w:rPr>
        <w:t>De plus, cela permettra de mettre en relation le rôle d’institutions</w:t>
      </w:r>
      <w:r w:rsidR="00BB3E68">
        <w:rPr>
          <w:rFonts w:ascii="Times New Roman" w:eastAsia="Times New Roman" w:hAnsi="Times New Roman" w:cs="Times New Roman"/>
        </w:rPr>
        <w:t xml:space="preserve"> existantes</w:t>
      </w:r>
      <w:r w:rsidR="006F79DB">
        <w:rPr>
          <w:rFonts w:ascii="Times New Roman" w:eastAsia="Times New Roman" w:hAnsi="Times New Roman" w:cs="Times New Roman"/>
        </w:rPr>
        <w:t>, notamment celles européennes (Commission européenne, Parlement européen, Conseil européen),</w:t>
      </w:r>
      <w:r w:rsidR="00BB3E68">
        <w:rPr>
          <w:rFonts w:ascii="Times New Roman" w:eastAsia="Times New Roman" w:hAnsi="Times New Roman" w:cs="Times New Roman"/>
        </w:rPr>
        <w:t xml:space="preserve"> ou en voie de création (ex. : négociation parallèle d’un traité sur </w:t>
      </w:r>
      <w:r w:rsidR="00740E09">
        <w:rPr>
          <w:rFonts w:ascii="Times New Roman" w:eastAsia="Times New Roman" w:hAnsi="Times New Roman" w:cs="Times New Roman"/>
        </w:rPr>
        <w:t>l’investissement</w:t>
      </w:r>
      <w:r w:rsidR="00BB3E68">
        <w:rPr>
          <w:rFonts w:ascii="Times New Roman" w:eastAsia="Times New Roman" w:hAnsi="Times New Roman" w:cs="Times New Roman"/>
        </w:rPr>
        <w:t xml:space="preserve"> avec la Chine) </w:t>
      </w:r>
      <w:r w:rsidR="006F79DB">
        <w:rPr>
          <w:rFonts w:ascii="Times New Roman" w:eastAsia="Times New Roman" w:hAnsi="Times New Roman" w:cs="Times New Roman"/>
        </w:rPr>
        <w:t>qui n’auraient pas pu être prises en compte en choisissant d’analyser le droit des investissements du point de vue d’un complexe de régimes</w:t>
      </w:r>
      <w:r w:rsidR="00C05F6A">
        <w:rPr>
          <w:rFonts w:ascii="Times New Roman" w:eastAsia="Times New Roman" w:hAnsi="Times New Roman" w:cs="Times New Roman"/>
        </w:rPr>
        <w:t>.</w:t>
      </w:r>
      <w:r w:rsidR="002E5BE8">
        <w:rPr>
          <w:rFonts w:ascii="Times New Roman" w:eastAsia="Times New Roman" w:hAnsi="Times New Roman" w:cs="Times New Roman"/>
        </w:rPr>
        <w:t xml:space="preserve"> </w:t>
      </w:r>
      <w:r w:rsidR="00482AF7">
        <w:rPr>
          <w:rFonts w:ascii="Times New Roman" w:eastAsia="Times New Roman" w:hAnsi="Times New Roman" w:cs="Times New Roman"/>
        </w:rPr>
        <w:t>Ceci dit, u</w:t>
      </w:r>
      <w:r w:rsidR="00EA096E">
        <w:rPr>
          <w:rFonts w:ascii="Times New Roman" w:eastAsia="Times New Roman" w:hAnsi="Times New Roman" w:cs="Times New Roman"/>
        </w:rPr>
        <w:t xml:space="preserve">n autre chercheur pourrait tenter d’analyser les investissements comme un complexe de régime puisqu’encore une fois la frontière entre ces concepts est davantage de l’ordre de la représentation analytique que réelle. </w:t>
      </w:r>
    </w:p>
    <w:p w14:paraId="46281AB7" w14:textId="19976CF8" w:rsidR="00D02720" w:rsidRPr="00562027" w:rsidRDefault="00482AF7" w:rsidP="00BA43F7">
      <w:pPr>
        <w:spacing w:before="120" w:after="120" w:line="360" w:lineRule="auto"/>
        <w:jc w:val="both"/>
        <w:rPr>
          <w:rFonts w:ascii="Times New Roman" w:eastAsia="Times New Roman" w:hAnsi="Times New Roman" w:cs="Times New Roman"/>
          <w:lang w:val="fr-FR"/>
        </w:rPr>
      </w:pPr>
      <w:r>
        <w:rPr>
          <w:rFonts w:ascii="Times New Roman" w:eastAsia="Times New Roman" w:hAnsi="Times New Roman" w:cs="Times New Roman"/>
        </w:rPr>
        <w:t>De</w:t>
      </w:r>
      <w:r w:rsidR="006F79DB">
        <w:rPr>
          <w:rFonts w:ascii="Times New Roman" w:eastAsia="Times New Roman" w:hAnsi="Times New Roman" w:cs="Times New Roman"/>
        </w:rPr>
        <w:t xml:space="preserve">uxièmement, un ajout important à la théorie proposée par </w:t>
      </w:r>
      <w:proofErr w:type="spellStart"/>
      <w:r w:rsidR="006F79DB">
        <w:rPr>
          <w:rFonts w:ascii="Times New Roman" w:eastAsia="Times New Roman" w:hAnsi="Times New Roman" w:cs="Times New Roman"/>
        </w:rPr>
        <w:t>Raustiala</w:t>
      </w:r>
      <w:proofErr w:type="spellEnd"/>
      <w:r w:rsidR="006F79DB">
        <w:rPr>
          <w:rFonts w:ascii="Times New Roman" w:eastAsia="Times New Roman" w:hAnsi="Times New Roman" w:cs="Times New Roman"/>
        </w:rPr>
        <w:t xml:space="preserve"> et Victor sur le point qu’un complexe doit être composé de plusieurs éléments est qu</w:t>
      </w:r>
      <w:r>
        <w:rPr>
          <w:rFonts w:ascii="Times New Roman" w:eastAsia="Times New Roman" w:hAnsi="Times New Roman" w:cs="Times New Roman"/>
        </w:rPr>
        <w:t xml:space="preserve">e la présente recherche </w:t>
      </w:r>
      <w:r w:rsidR="006F79DB">
        <w:rPr>
          <w:rFonts w:ascii="Times New Roman" w:eastAsia="Times New Roman" w:hAnsi="Times New Roman" w:cs="Times New Roman"/>
        </w:rPr>
        <w:t xml:space="preserve">soutient que les éléments primaires </w:t>
      </w:r>
      <w:r w:rsidR="001D0693">
        <w:rPr>
          <w:rFonts w:ascii="Times New Roman" w:eastAsia="Times New Roman" w:hAnsi="Times New Roman" w:cs="Times New Roman"/>
        </w:rPr>
        <w:t xml:space="preserve">ou les acteurs </w:t>
      </w:r>
      <w:r w:rsidR="006F79DB">
        <w:rPr>
          <w:rFonts w:ascii="Times New Roman" w:eastAsia="Times New Roman" w:hAnsi="Times New Roman" w:cs="Times New Roman"/>
        </w:rPr>
        <w:t xml:space="preserve">n’ont pas </w:t>
      </w:r>
      <w:r>
        <w:rPr>
          <w:rFonts w:ascii="Times New Roman" w:eastAsia="Times New Roman" w:hAnsi="Times New Roman" w:cs="Times New Roman"/>
        </w:rPr>
        <w:t>à</w:t>
      </w:r>
      <w:r w:rsidR="006F79DB">
        <w:rPr>
          <w:rFonts w:ascii="Times New Roman" w:eastAsia="Times New Roman" w:hAnsi="Times New Roman" w:cs="Times New Roman"/>
        </w:rPr>
        <w:t xml:space="preserve"> être d</w:t>
      </w:r>
      <w:r w:rsidR="004C4B55">
        <w:rPr>
          <w:rFonts w:ascii="Times New Roman" w:eastAsia="Times New Roman" w:hAnsi="Times New Roman" w:cs="Times New Roman"/>
        </w:rPr>
        <w:t xml:space="preserve">e nature interétatique (Abbott </w:t>
      </w:r>
      <w:r w:rsidR="006F79DB">
        <w:rPr>
          <w:rFonts w:ascii="Times New Roman" w:eastAsia="Times New Roman" w:hAnsi="Times New Roman" w:cs="Times New Roman"/>
        </w:rPr>
        <w:t xml:space="preserve">2011 : 574). Ce choix apparait </w:t>
      </w:r>
      <w:r w:rsidR="00B002E0">
        <w:rPr>
          <w:rFonts w:ascii="Times New Roman" w:eastAsia="Times New Roman" w:hAnsi="Times New Roman" w:cs="Times New Roman"/>
        </w:rPr>
        <w:t xml:space="preserve">particulièrement logique </w:t>
      </w:r>
      <w:r w:rsidR="005E2ED8">
        <w:rPr>
          <w:rFonts w:ascii="Times New Roman" w:eastAsia="Times New Roman" w:hAnsi="Times New Roman" w:cs="Times New Roman"/>
        </w:rPr>
        <w:t>à notre époque où les États ne sont plus les seuls acteurs actifs sur la scène internatio</w:t>
      </w:r>
      <w:r w:rsidR="004C4B55">
        <w:rPr>
          <w:rFonts w:ascii="Times New Roman" w:eastAsia="Times New Roman" w:hAnsi="Times New Roman" w:cs="Times New Roman"/>
        </w:rPr>
        <w:t xml:space="preserve">nale (Haas 1992; </w:t>
      </w:r>
      <w:proofErr w:type="spellStart"/>
      <w:r w:rsidR="004C4B55">
        <w:rPr>
          <w:rFonts w:ascii="Times New Roman" w:eastAsia="Times New Roman" w:hAnsi="Times New Roman" w:cs="Times New Roman"/>
        </w:rPr>
        <w:t>Keck</w:t>
      </w:r>
      <w:proofErr w:type="spellEnd"/>
      <w:r w:rsidR="004C4B55">
        <w:rPr>
          <w:rFonts w:ascii="Times New Roman" w:eastAsia="Times New Roman" w:hAnsi="Times New Roman" w:cs="Times New Roman"/>
        </w:rPr>
        <w:t xml:space="preserve"> et </w:t>
      </w:r>
      <w:proofErr w:type="spellStart"/>
      <w:r w:rsidR="004C4B55">
        <w:rPr>
          <w:rFonts w:ascii="Times New Roman" w:eastAsia="Times New Roman" w:hAnsi="Times New Roman" w:cs="Times New Roman"/>
        </w:rPr>
        <w:t>Sikkink</w:t>
      </w:r>
      <w:proofErr w:type="spellEnd"/>
      <w:r w:rsidR="004C4B55">
        <w:rPr>
          <w:rFonts w:ascii="Times New Roman" w:eastAsia="Times New Roman" w:hAnsi="Times New Roman" w:cs="Times New Roman"/>
        </w:rPr>
        <w:t xml:space="preserve"> </w:t>
      </w:r>
      <w:r w:rsidR="001D0693">
        <w:rPr>
          <w:rFonts w:ascii="Times New Roman" w:eastAsia="Times New Roman" w:hAnsi="Times New Roman" w:cs="Times New Roman"/>
        </w:rPr>
        <w:t>1999). Au sein du régime des investissements, l’ICTSD et l’IISD, deux organismes non gouvernementaux (ONG)</w:t>
      </w:r>
      <w:r w:rsidR="006105F2">
        <w:rPr>
          <w:rFonts w:ascii="Times New Roman" w:eastAsia="Times New Roman" w:hAnsi="Times New Roman" w:cs="Times New Roman"/>
        </w:rPr>
        <w:t xml:space="preserve">, sont par exemple des acteurs </w:t>
      </w:r>
      <w:r w:rsidR="001D0693">
        <w:rPr>
          <w:rFonts w:ascii="Times New Roman" w:eastAsia="Times New Roman" w:hAnsi="Times New Roman" w:cs="Times New Roman"/>
        </w:rPr>
        <w:t xml:space="preserve">dont les travaux sont intéressants à considérer dans le cadre du complexe d’institutions sur l’investissement. </w:t>
      </w:r>
      <w:r w:rsidR="006105F2">
        <w:rPr>
          <w:rFonts w:ascii="Times New Roman" w:eastAsia="Times New Roman" w:hAnsi="Times New Roman" w:cs="Times New Roman"/>
        </w:rPr>
        <w:t xml:space="preserve">De plus, </w:t>
      </w:r>
      <w:r w:rsidR="00360297">
        <w:rPr>
          <w:rFonts w:ascii="Times New Roman" w:eastAsia="Times New Roman" w:hAnsi="Times New Roman" w:cs="Times New Roman"/>
        </w:rPr>
        <w:t>l’une des particularités du droit international des investissements est qu’il offre une place importante aux investisseurs étrangers, bien souvent des firmes transnationales. Ces dernières ont ensuite la capacité d’influencer son développement en choisissant notamment le forum</w:t>
      </w:r>
      <w:r w:rsidR="00AC4FC7">
        <w:rPr>
          <w:rFonts w:ascii="Times New Roman" w:eastAsia="Times New Roman" w:hAnsi="Times New Roman" w:cs="Times New Roman"/>
        </w:rPr>
        <w:t xml:space="preserve"> juridique</w:t>
      </w:r>
      <w:r w:rsidR="00534098">
        <w:rPr>
          <w:rFonts w:ascii="Times New Roman" w:eastAsia="Times New Roman" w:hAnsi="Times New Roman" w:cs="Times New Roman"/>
        </w:rPr>
        <w:t xml:space="preserve"> où e</w:t>
      </w:r>
      <w:r w:rsidR="003C5525">
        <w:rPr>
          <w:rFonts w:ascii="Times New Roman" w:eastAsia="Times New Roman" w:hAnsi="Times New Roman" w:cs="Times New Roman"/>
        </w:rPr>
        <w:t>lles poursuivent les États et en faisant la promotion de certaines interprétations des règles prévues  au sein des traités.</w:t>
      </w:r>
      <w:r w:rsidR="00534098">
        <w:rPr>
          <w:rFonts w:ascii="Times New Roman" w:eastAsia="Times New Roman" w:hAnsi="Times New Roman" w:cs="Times New Roman"/>
        </w:rPr>
        <w:t xml:space="preserve"> </w:t>
      </w:r>
      <w:r w:rsidR="00562027">
        <w:rPr>
          <w:rFonts w:ascii="Times New Roman" w:eastAsia="Times New Roman" w:hAnsi="Times New Roman" w:cs="Times New Roman"/>
        </w:rPr>
        <w:t>Elles peuvent aussi financer ou proposer des innovations normatives </w:t>
      </w:r>
      <w:r w:rsidR="00AC4FC7">
        <w:rPr>
          <w:rFonts w:ascii="Times New Roman" w:eastAsia="Times New Roman" w:hAnsi="Times New Roman" w:cs="Times New Roman"/>
        </w:rPr>
        <w:t xml:space="preserve"> comme le souligne</w:t>
      </w:r>
      <w:r w:rsidR="00740E09">
        <w:rPr>
          <w:rFonts w:ascii="Times New Roman" w:eastAsia="Times New Roman" w:hAnsi="Times New Roman" w:cs="Times New Roman"/>
        </w:rPr>
        <w:t xml:space="preserve"> Abbott </w:t>
      </w:r>
      <w:r w:rsidR="00562027">
        <w:rPr>
          <w:rFonts w:ascii="Times New Roman" w:eastAsia="Times New Roman" w:hAnsi="Times New Roman" w:cs="Times New Roman"/>
        </w:rPr>
        <w:t xml:space="preserve">: </w:t>
      </w:r>
      <w:proofErr w:type="spellStart"/>
      <w:r w:rsidR="00562027" w:rsidRPr="00562027">
        <w:rPr>
          <w:rFonts w:ascii="Times New Roman" w:eastAsia="Times New Roman" w:hAnsi="Times New Roman" w:cs="Times New Roman"/>
          <w:i/>
          <w:lang w:val="fr-FR"/>
        </w:rPr>
        <w:t>Firms</w:t>
      </w:r>
      <w:proofErr w:type="spellEnd"/>
      <w:r w:rsidR="00562027" w:rsidRPr="00562027">
        <w:rPr>
          <w:rFonts w:ascii="Times New Roman" w:eastAsia="Times New Roman" w:hAnsi="Times New Roman" w:cs="Times New Roman"/>
          <w:i/>
          <w:lang w:val="fr-FR"/>
        </w:rPr>
        <w:t xml:space="preserve">, for </w:t>
      </w:r>
      <w:proofErr w:type="spellStart"/>
      <w:r w:rsidR="00562027" w:rsidRPr="00562027">
        <w:rPr>
          <w:rFonts w:ascii="Times New Roman" w:eastAsia="Times New Roman" w:hAnsi="Times New Roman" w:cs="Times New Roman"/>
          <w:i/>
          <w:lang w:val="fr-FR"/>
        </w:rPr>
        <w:t>example</w:t>
      </w:r>
      <w:proofErr w:type="spellEnd"/>
      <w:r w:rsidR="00562027" w:rsidRPr="00562027">
        <w:rPr>
          <w:rFonts w:ascii="Times New Roman" w:eastAsia="Times New Roman" w:hAnsi="Times New Roman" w:cs="Times New Roman"/>
          <w:i/>
          <w:lang w:val="fr-FR"/>
        </w:rPr>
        <w:t xml:space="preserve">, </w:t>
      </w:r>
      <w:proofErr w:type="spellStart"/>
      <w:r w:rsidR="00562027" w:rsidRPr="00562027">
        <w:rPr>
          <w:rFonts w:ascii="Times New Roman" w:eastAsia="Times New Roman" w:hAnsi="Times New Roman" w:cs="Times New Roman"/>
          <w:i/>
          <w:lang w:val="fr-FR"/>
        </w:rPr>
        <w:t>can</w:t>
      </w:r>
      <w:proofErr w:type="spellEnd"/>
      <w:r w:rsidR="00562027" w:rsidRPr="00562027">
        <w:rPr>
          <w:rFonts w:ascii="Times New Roman" w:eastAsia="Times New Roman" w:hAnsi="Times New Roman" w:cs="Times New Roman"/>
          <w:i/>
          <w:lang w:val="fr-FR"/>
        </w:rPr>
        <w:t xml:space="preserve"> </w:t>
      </w:r>
      <w:proofErr w:type="spellStart"/>
      <w:r w:rsidR="00562027" w:rsidRPr="00562027">
        <w:rPr>
          <w:rFonts w:ascii="Times New Roman" w:eastAsia="Times New Roman" w:hAnsi="Times New Roman" w:cs="Times New Roman"/>
          <w:i/>
          <w:lang w:val="fr-FR"/>
        </w:rPr>
        <w:t>contribute</w:t>
      </w:r>
      <w:proofErr w:type="spellEnd"/>
      <w:r w:rsidR="00562027" w:rsidRPr="00562027">
        <w:rPr>
          <w:rFonts w:ascii="Times New Roman" w:eastAsia="Times New Roman" w:hAnsi="Times New Roman" w:cs="Times New Roman"/>
          <w:i/>
          <w:lang w:val="fr-FR"/>
        </w:rPr>
        <w:t xml:space="preserve"> [in] </w:t>
      </w:r>
      <w:proofErr w:type="spellStart"/>
      <w:r w:rsidR="00562027" w:rsidRPr="00562027">
        <w:rPr>
          <w:rFonts w:ascii="Times New Roman" w:eastAsia="Times New Roman" w:hAnsi="Times New Roman" w:cs="Times New Roman"/>
          <w:i/>
          <w:lang w:val="fr-FR"/>
        </w:rPr>
        <w:t>material</w:t>
      </w:r>
      <w:proofErr w:type="spellEnd"/>
      <w:r w:rsidR="00562027" w:rsidRPr="00562027">
        <w:rPr>
          <w:rFonts w:ascii="Times New Roman" w:eastAsia="Times New Roman" w:hAnsi="Times New Roman" w:cs="Times New Roman"/>
          <w:i/>
          <w:lang w:val="fr-FR"/>
        </w:rPr>
        <w:t xml:space="preserve"> </w:t>
      </w:r>
      <w:proofErr w:type="spellStart"/>
      <w:r w:rsidR="00562027" w:rsidRPr="00562027">
        <w:rPr>
          <w:rFonts w:ascii="Times New Roman" w:eastAsia="Times New Roman" w:hAnsi="Times New Roman" w:cs="Times New Roman"/>
          <w:i/>
          <w:lang w:val="fr-FR"/>
        </w:rPr>
        <w:t>resources</w:t>
      </w:r>
      <w:proofErr w:type="spellEnd"/>
      <w:r w:rsidR="00562027" w:rsidRPr="00562027">
        <w:rPr>
          <w:rFonts w:ascii="Times New Roman" w:eastAsia="Times New Roman" w:hAnsi="Times New Roman" w:cs="Times New Roman"/>
          <w:i/>
          <w:lang w:val="fr-FR"/>
        </w:rPr>
        <w:t xml:space="preserve">, business expertise, and </w:t>
      </w:r>
      <w:proofErr w:type="spellStart"/>
      <w:r w:rsidR="00562027" w:rsidRPr="00562027">
        <w:rPr>
          <w:rFonts w:ascii="Times New Roman" w:eastAsia="Times New Roman" w:hAnsi="Times New Roman" w:cs="Times New Roman"/>
          <w:i/>
          <w:lang w:val="fr-FR"/>
        </w:rPr>
        <w:t>managerial</w:t>
      </w:r>
      <w:proofErr w:type="spellEnd"/>
      <w:r w:rsidR="00562027" w:rsidRPr="00562027">
        <w:rPr>
          <w:rFonts w:ascii="Times New Roman" w:eastAsia="Times New Roman" w:hAnsi="Times New Roman" w:cs="Times New Roman"/>
          <w:i/>
          <w:lang w:val="fr-FR"/>
        </w:rPr>
        <w:t xml:space="preserve"> </w:t>
      </w:r>
      <w:proofErr w:type="spellStart"/>
      <w:r w:rsidR="00562027" w:rsidRPr="00562027">
        <w:rPr>
          <w:rFonts w:ascii="Times New Roman" w:eastAsia="Times New Roman" w:hAnsi="Times New Roman" w:cs="Times New Roman"/>
          <w:i/>
          <w:lang w:val="fr-FR"/>
        </w:rPr>
        <w:t>capabilities</w:t>
      </w:r>
      <w:proofErr w:type="spellEnd"/>
      <w:r w:rsidR="00562027" w:rsidRPr="00562027">
        <w:rPr>
          <w:rFonts w:ascii="Times New Roman" w:eastAsia="Times New Roman" w:hAnsi="Times New Roman" w:cs="Times New Roman"/>
          <w:i/>
          <w:lang w:val="fr-FR"/>
        </w:rPr>
        <w:t xml:space="preserve"> </w:t>
      </w:r>
      <w:r w:rsidR="00562027">
        <w:rPr>
          <w:rFonts w:ascii="Times New Roman" w:eastAsia="Times New Roman" w:hAnsi="Times New Roman" w:cs="Times New Roman"/>
          <w:lang w:val="fr-FR"/>
        </w:rPr>
        <w:t>(2011 : 579).</w:t>
      </w:r>
    </w:p>
    <w:p w14:paraId="0CE892A2" w14:textId="30D8B081" w:rsidR="00EA096E" w:rsidRDefault="00AC4FC7"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lang w:val="fr-FR"/>
        </w:rPr>
        <w:t>I</w:t>
      </w:r>
      <w:r w:rsidR="00740E09">
        <w:rPr>
          <w:rFonts w:ascii="Times New Roman" w:eastAsia="Times New Roman" w:hAnsi="Times New Roman" w:cs="Times New Roman"/>
        </w:rPr>
        <w:t>l n’est</w:t>
      </w:r>
      <w:r w:rsidR="00534098">
        <w:rPr>
          <w:rFonts w:ascii="Times New Roman" w:eastAsia="Times New Roman" w:hAnsi="Times New Roman" w:cs="Times New Roman"/>
        </w:rPr>
        <w:t xml:space="preserve"> absolument pas question de mettre en doute</w:t>
      </w:r>
      <w:r w:rsidR="00740E09">
        <w:rPr>
          <w:rFonts w:ascii="Times New Roman" w:eastAsia="Times New Roman" w:hAnsi="Times New Roman" w:cs="Times New Roman"/>
        </w:rPr>
        <w:t xml:space="preserve"> que </w:t>
      </w:r>
      <w:r w:rsidR="00B8116E">
        <w:rPr>
          <w:rFonts w:ascii="Times New Roman" w:eastAsia="Times New Roman" w:hAnsi="Times New Roman" w:cs="Times New Roman"/>
        </w:rPr>
        <w:t>les États demeurent les</w:t>
      </w:r>
      <w:r w:rsidR="00534098">
        <w:rPr>
          <w:rFonts w:ascii="Times New Roman" w:eastAsia="Times New Roman" w:hAnsi="Times New Roman" w:cs="Times New Roman"/>
        </w:rPr>
        <w:t xml:space="preserve"> plus importants acteurs sur</w:t>
      </w:r>
      <w:r w:rsidR="00D02720">
        <w:rPr>
          <w:rFonts w:ascii="Times New Roman" w:eastAsia="Times New Roman" w:hAnsi="Times New Roman" w:cs="Times New Roman"/>
        </w:rPr>
        <w:t xml:space="preserve"> la scène internationale.</w:t>
      </w:r>
      <w:r w:rsidR="00534098">
        <w:rPr>
          <w:rFonts w:ascii="Times New Roman" w:eastAsia="Times New Roman" w:hAnsi="Times New Roman" w:cs="Times New Roman"/>
        </w:rPr>
        <w:t xml:space="preserve"> </w:t>
      </w:r>
      <w:r w:rsidR="00D02720">
        <w:rPr>
          <w:rFonts w:ascii="Times New Roman" w:eastAsia="Times New Roman" w:hAnsi="Times New Roman" w:cs="Times New Roman"/>
        </w:rPr>
        <w:t>Certain</w:t>
      </w:r>
      <w:r w:rsidR="00E43009">
        <w:rPr>
          <w:rFonts w:ascii="Times New Roman" w:eastAsia="Times New Roman" w:hAnsi="Times New Roman" w:cs="Times New Roman"/>
        </w:rPr>
        <w:t>e</w:t>
      </w:r>
      <w:r w:rsidR="00D02720">
        <w:rPr>
          <w:rFonts w:ascii="Times New Roman" w:eastAsia="Times New Roman" w:hAnsi="Times New Roman" w:cs="Times New Roman"/>
        </w:rPr>
        <w:t xml:space="preserve">s implications, présentées dans la prochaine section, de l’existence d’un complexe ne s’appliquent d’ailleurs qu’aux États puisque ce sont eux qui conservent le pouvoir de ratifier des traités, soit le principal mécanisme à travers lequel l’évolution du droit international des investissements peut se cristalliser. </w:t>
      </w:r>
      <w:r w:rsidR="00534098">
        <w:rPr>
          <w:rFonts w:ascii="Times New Roman" w:eastAsia="Times New Roman" w:hAnsi="Times New Roman" w:cs="Times New Roman"/>
        </w:rPr>
        <w:t xml:space="preserve">L’idée est </w:t>
      </w:r>
      <w:r w:rsidR="00D02720">
        <w:rPr>
          <w:rFonts w:ascii="Times New Roman" w:eastAsia="Times New Roman" w:hAnsi="Times New Roman" w:cs="Times New Roman"/>
        </w:rPr>
        <w:t xml:space="preserve">donc </w:t>
      </w:r>
      <w:r w:rsidR="00534098">
        <w:rPr>
          <w:rFonts w:ascii="Times New Roman" w:eastAsia="Times New Roman" w:hAnsi="Times New Roman" w:cs="Times New Roman"/>
        </w:rPr>
        <w:t>simplement</w:t>
      </w:r>
      <w:r w:rsidR="00D02720">
        <w:rPr>
          <w:rFonts w:ascii="Times New Roman" w:eastAsia="Times New Roman" w:hAnsi="Times New Roman" w:cs="Times New Roman"/>
        </w:rPr>
        <w:t xml:space="preserve"> de reconnaître</w:t>
      </w:r>
      <w:r w:rsidR="00F03F3D">
        <w:rPr>
          <w:rFonts w:ascii="Times New Roman" w:eastAsia="Times New Roman" w:hAnsi="Times New Roman" w:cs="Times New Roman"/>
        </w:rPr>
        <w:t xml:space="preserve"> que d’autres acteurs ainsi que des </w:t>
      </w:r>
      <w:r w:rsidR="00534098">
        <w:rPr>
          <w:rFonts w:ascii="Times New Roman" w:eastAsia="Times New Roman" w:hAnsi="Times New Roman" w:cs="Times New Roman"/>
        </w:rPr>
        <w:t>institutions</w:t>
      </w:r>
      <w:r w:rsidR="00D02720">
        <w:rPr>
          <w:rFonts w:ascii="Times New Roman" w:eastAsia="Times New Roman" w:hAnsi="Times New Roman" w:cs="Times New Roman"/>
        </w:rPr>
        <w:t xml:space="preserve"> </w:t>
      </w:r>
      <w:r w:rsidR="00F03F3D">
        <w:rPr>
          <w:rFonts w:ascii="Times New Roman" w:eastAsia="Times New Roman" w:hAnsi="Times New Roman" w:cs="Times New Roman"/>
        </w:rPr>
        <w:t xml:space="preserve">qui n’impliquent pas des États </w:t>
      </w:r>
      <w:r w:rsidR="00D02720">
        <w:rPr>
          <w:rFonts w:ascii="Times New Roman" w:eastAsia="Times New Roman" w:hAnsi="Times New Roman" w:cs="Times New Roman"/>
        </w:rPr>
        <w:t xml:space="preserve">peuvent </w:t>
      </w:r>
      <w:r w:rsidR="00F03F3D">
        <w:rPr>
          <w:rFonts w:ascii="Times New Roman" w:eastAsia="Times New Roman" w:hAnsi="Times New Roman" w:cs="Times New Roman"/>
        </w:rPr>
        <w:t>avoir un rôle</w:t>
      </w:r>
      <w:r w:rsidR="00D02720">
        <w:rPr>
          <w:rFonts w:ascii="Times New Roman" w:eastAsia="Times New Roman" w:hAnsi="Times New Roman" w:cs="Times New Roman"/>
        </w:rPr>
        <w:t xml:space="preserve"> au sein du complexe</w:t>
      </w:r>
      <w:r w:rsidR="00FF1155">
        <w:rPr>
          <w:rFonts w:ascii="Times New Roman" w:eastAsia="Times New Roman" w:hAnsi="Times New Roman" w:cs="Times New Roman"/>
        </w:rPr>
        <w:t xml:space="preserve"> d’institutions</w:t>
      </w:r>
      <w:r w:rsidR="00D02720">
        <w:rPr>
          <w:rFonts w:ascii="Times New Roman" w:eastAsia="Times New Roman" w:hAnsi="Times New Roman" w:cs="Times New Roman"/>
        </w:rPr>
        <w:t>.</w:t>
      </w:r>
    </w:p>
    <w:p w14:paraId="27A84887" w14:textId="45434B5D" w:rsidR="00EE6C22" w:rsidRDefault="00EA096E"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Deuxième point à souligner à propos des </w:t>
      </w:r>
      <w:r w:rsidR="00B002E0">
        <w:rPr>
          <w:rFonts w:ascii="Times New Roman" w:eastAsia="Times New Roman" w:hAnsi="Times New Roman" w:cs="Times New Roman"/>
        </w:rPr>
        <w:t xml:space="preserve">deux </w:t>
      </w:r>
      <w:r>
        <w:rPr>
          <w:rFonts w:ascii="Times New Roman" w:eastAsia="Times New Roman" w:hAnsi="Times New Roman" w:cs="Times New Roman"/>
        </w:rPr>
        <w:t>définitions précédemment cité</w:t>
      </w:r>
      <w:r w:rsidR="00CF56AD">
        <w:rPr>
          <w:rFonts w:ascii="Times New Roman" w:eastAsia="Times New Roman" w:hAnsi="Times New Roman" w:cs="Times New Roman"/>
        </w:rPr>
        <w:t>e</w:t>
      </w:r>
      <w:r>
        <w:rPr>
          <w:rFonts w:ascii="Times New Roman" w:eastAsia="Times New Roman" w:hAnsi="Times New Roman" w:cs="Times New Roman"/>
        </w:rPr>
        <w:t>s</w:t>
      </w:r>
      <w:r w:rsidR="00AC4FC7">
        <w:rPr>
          <w:rFonts w:ascii="Times New Roman" w:eastAsia="Times New Roman" w:hAnsi="Times New Roman" w:cs="Times New Roman"/>
        </w:rPr>
        <w:t> :</w:t>
      </w:r>
      <w:r>
        <w:rPr>
          <w:rFonts w:ascii="Times New Roman" w:eastAsia="Times New Roman" w:hAnsi="Times New Roman" w:cs="Times New Roman"/>
        </w:rPr>
        <w:t xml:space="preserve"> </w:t>
      </w:r>
      <w:r w:rsidR="00AC4FC7">
        <w:rPr>
          <w:rFonts w:ascii="Times New Roman" w:eastAsia="Times New Roman" w:hAnsi="Times New Roman" w:cs="Times New Roman"/>
        </w:rPr>
        <w:t>un</w:t>
      </w:r>
      <w:r w:rsidR="00B002E0">
        <w:rPr>
          <w:rFonts w:ascii="Times New Roman" w:eastAsia="Times New Roman" w:hAnsi="Times New Roman" w:cs="Times New Roman"/>
        </w:rPr>
        <w:t xml:space="preserve"> complexe est caractérisé par l’absence</w:t>
      </w:r>
      <w:r w:rsidR="000819BC" w:rsidRPr="699002A2">
        <w:rPr>
          <w:rFonts w:ascii="Times New Roman" w:eastAsia="Times New Roman" w:hAnsi="Times New Roman" w:cs="Times New Roman"/>
        </w:rPr>
        <w:t xml:space="preserve"> </w:t>
      </w:r>
      <w:r w:rsidR="00FF31CD" w:rsidRPr="699002A2">
        <w:rPr>
          <w:rFonts w:ascii="Times New Roman" w:eastAsia="Times New Roman" w:hAnsi="Times New Roman" w:cs="Times New Roman"/>
        </w:rPr>
        <w:t>de hiér</w:t>
      </w:r>
      <w:r w:rsidR="00B002E0">
        <w:rPr>
          <w:rFonts w:ascii="Times New Roman" w:eastAsia="Times New Roman" w:hAnsi="Times New Roman" w:cs="Times New Roman"/>
        </w:rPr>
        <w:t>archie entre ses différents éléments primaires</w:t>
      </w:r>
      <w:r w:rsidR="00B8116E">
        <w:rPr>
          <w:rFonts w:ascii="Times New Roman" w:eastAsia="Times New Roman" w:hAnsi="Times New Roman" w:cs="Times New Roman"/>
        </w:rPr>
        <w:t xml:space="preserve"> (</w:t>
      </w:r>
      <w:proofErr w:type="spellStart"/>
      <w:r w:rsidR="00B8116E">
        <w:rPr>
          <w:rFonts w:ascii="Times New Roman" w:eastAsia="Times New Roman" w:hAnsi="Times New Roman" w:cs="Times New Roman"/>
        </w:rPr>
        <w:t>Raustiala</w:t>
      </w:r>
      <w:proofErr w:type="spellEnd"/>
      <w:r w:rsidR="00B8116E">
        <w:rPr>
          <w:rFonts w:ascii="Times New Roman" w:eastAsia="Times New Roman" w:hAnsi="Times New Roman" w:cs="Times New Roman"/>
        </w:rPr>
        <w:t xml:space="preserve"> et Victor 2004 : 278; Alter et Meunier</w:t>
      </w:r>
      <w:r w:rsidR="000819BC" w:rsidRPr="699002A2">
        <w:rPr>
          <w:rFonts w:ascii="Times New Roman" w:eastAsia="Times New Roman" w:hAnsi="Times New Roman" w:cs="Times New Roman"/>
        </w:rPr>
        <w:t xml:space="preserve"> 2009 : 13)</w:t>
      </w:r>
      <w:r w:rsidR="00AC4FC7">
        <w:rPr>
          <w:rFonts w:ascii="Times New Roman" w:eastAsia="Times New Roman" w:hAnsi="Times New Roman" w:cs="Times New Roman"/>
        </w:rPr>
        <w:t>. Cet élément est essentiel. Autrement,</w:t>
      </w:r>
      <w:r w:rsidR="00B17CED" w:rsidRPr="699002A2">
        <w:rPr>
          <w:rFonts w:ascii="Times New Roman" w:eastAsia="Times New Roman" w:hAnsi="Times New Roman" w:cs="Times New Roman"/>
        </w:rPr>
        <w:t xml:space="preserve"> ce serait un système au sein</w:t>
      </w:r>
      <w:r w:rsidR="00740E09">
        <w:rPr>
          <w:rFonts w:ascii="Times New Roman" w:eastAsia="Times New Roman" w:hAnsi="Times New Roman" w:cs="Times New Roman"/>
        </w:rPr>
        <w:t xml:space="preserve"> duquel une division du travail, ou à tout le moins une coordination des actions, </w:t>
      </w:r>
      <w:r w:rsidR="00B17CED" w:rsidRPr="699002A2">
        <w:rPr>
          <w:rFonts w:ascii="Times New Roman" w:eastAsia="Times New Roman" w:hAnsi="Times New Roman" w:cs="Times New Roman"/>
        </w:rPr>
        <w:t>devrait presque systématiquement se développer entre les différe</w:t>
      </w:r>
      <w:r w:rsidR="00D0097D">
        <w:rPr>
          <w:rFonts w:ascii="Times New Roman" w:eastAsia="Times New Roman" w:hAnsi="Times New Roman" w:cs="Times New Roman"/>
        </w:rPr>
        <w:t>nts acteurs. C'est donc dire que la potentialité de problèmes entre les divers</w:t>
      </w:r>
      <w:r w:rsidR="00B002E0">
        <w:rPr>
          <w:rFonts w:ascii="Times New Roman" w:eastAsia="Times New Roman" w:hAnsi="Times New Roman" w:cs="Times New Roman"/>
        </w:rPr>
        <w:t>es institutions</w:t>
      </w:r>
      <w:r w:rsidR="00D0097D">
        <w:rPr>
          <w:rFonts w:ascii="Times New Roman" w:eastAsia="Times New Roman" w:hAnsi="Times New Roman" w:cs="Times New Roman"/>
        </w:rPr>
        <w:t>, élément notamment mis de l’avant au sein de la définition d’Orsini, Morin et Young, deviendrait pratiquement nulle</w:t>
      </w:r>
      <w:r>
        <w:rPr>
          <w:rFonts w:ascii="Times New Roman" w:eastAsia="Times New Roman" w:hAnsi="Times New Roman" w:cs="Times New Roman"/>
        </w:rPr>
        <w:t xml:space="preserve">. </w:t>
      </w:r>
      <w:r w:rsidR="00CE78A9">
        <w:rPr>
          <w:rFonts w:ascii="Times New Roman" w:eastAsia="Times New Roman" w:hAnsi="Times New Roman" w:cs="Times New Roman"/>
        </w:rPr>
        <w:t>C</w:t>
      </w:r>
      <w:r w:rsidR="00F141FF">
        <w:rPr>
          <w:rFonts w:ascii="Times New Roman" w:eastAsia="Times New Roman" w:hAnsi="Times New Roman" w:cs="Times New Roman"/>
        </w:rPr>
        <w:t xml:space="preserve">e système ne serait rien de plus qu’une addition </w:t>
      </w:r>
      <w:r w:rsidR="00F47DB8">
        <w:rPr>
          <w:rFonts w:ascii="Times New Roman" w:eastAsia="Times New Roman" w:hAnsi="Times New Roman" w:cs="Times New Roman"/>
        </w:rPr>
        <w:t>de</w:t>
      </w:r>
      <w:r w:rsidR="00F141FF">
        <w:rPr>
          <w:rFonts w:ascii="Times New Roman" w:eastAsia="Times New Roman" w:hAnsi="Times New Roman" w:cs="Times New Roman"/>
        </w:rPr>
        <w:t xml:space="preserve"> plusieurs</w:t>
      </w:r>
      <w:r w:rsidR="00F47DB8">
        <w:rPr>
          <w:rFonts w:ascii="Times New Roman" w:eastAsia="Times New Roman" w:hAnsi="Times New Roman" w:cs="Times New Roman"/>
        </w:rPr>
        <w:t xml:space="preserve"> </w:t>
      </w:r>
      <w:r w:rsidR="00B002E0">
        <w:rPr>
          <w:rFonts w:ascii="Times New Roman" w:eastAsia="Times New Roman" w:hAnsi="Times New Roman" w:cs="Times New Roman"/>
        </w:rPr>
        <w:t>éléments primaires,</w:t>
      </w:r>
      <w:r w:rsidR="00F141FF">
        <w:rPr>
          <w:rFonts w:ascii="Times New Roman" w:eastAsia="Times New Roman" w:hAnsi="Times New Roman" w:cs="Times New Roman"/>
        </w:rPr>
        <w:t xml:space="preserve"> sans impact particulier du point de vue analytique. </w:t>
      </w:r>
      <w:r w:rsidR="00CE78A9">
        <w:rPr>
          <w:rFonts w:ascii="Times New Roman" w:eastAsia="Times New Roman" w:hAnsi="Times New Roman" w:cs="Times New Roman"/>
        </w:rPr>
        <w:t xml:space="preserve">Au contraire, </w:t>
      </w:r>
      <w:r w:rsidR="001A6C66">
        <w:rPr>
          <w:rFonts w:ascii="Times New Roman" w:eastAsia="Times New Roman" w:hAnsi="Times New Roman" w:cs="Times New Roman"/>
        </w:rPr>
        <w:t>un complexe doit être</w:t>
      </w:r>
      <w:r w:rsidR="00CE78A9">
        <w:rPr>
          <w:rFonts w:ascii="Times New Roman" w:eastAsia="Times New Roman" w:hAnsi="Times New Roman" w:cs="Times New Roman"/>
        </w:rPr>
        <w:t xml:space="preserve"> plus que la somme de ses </w:t>
      </w:r>
      <w:r w:rsidR="00B002E0">
        <w:rPr>
          <w:rFonts w:ascii="Times New Roman" w:eastAsia="Times New Roman" w:hAnsi="Times New Roman" w:cs="Times New Roman"/>
        </w:rPr>
        <w:t>parties</w:t>
      </w:r>
      <w:r w:rsidR="00740E09">
        <w:rPr>
          <w:rFonts w:ascii="Times New Roman" w:eastAsia="Times New Roman" w:hAnsi="Times New Roman" w:cs="Times New Roman"/>
        </w:rPr>
        <w:t xml:space="preserve"> afin qu’il </w:t>
      </w:r>
      <w:r w:rsidR="00AC4FC7">
        <w:rPr>
          <w:rFonts w:ascii="Times New Roman" w:eastAsia="Times New Roman" w:hAnsi="Times New Roman" w:cs="Times New Roman"/>
        </w:rPr>
        <w:t xml:space="preserve">représente </w:t>
      </w:r>
      <w:r w:rsidR="00740E09">
        <w:rPr>
          <w:rFonts w:ascii="Times New Roman" w:eastAsia="Times New Roman" w:hAnsi="Times New Roman" w:cs="Times New Roman"/>
        </w:rPr>
        <w:t xml:space="preserve">un quelconque intérêt </w:t>
      </w:r>
      <w:r w:rsidR="00B8116E">
        <w:rPr>
          <w:rFonts w:ascii="Times New Roman" w:eastAsia="Times New Roman" w:hAnsi="Times New Roman" w:cs="Times New Roman"/>
        </w:rPr>
        <w:t xml:space="preserve">du point de vue </w:t>
      </w:r>
      <w:proofErr w:type="spellStart"/>
      <w:r w:rsidR="00B8116E">
        <w:rPr>
          <w:rFonts w:ascii="Times New Roman" w:eastAsia="Times New Roman" w:hAnsi="Times New Roman" w:cs="Times New Roman"/>
        </w:rPr>
        <w:t>analytiqe</w:t>
      </w:r>
      <w:proofErr w:type="spellEnd"/>
      <w:r w:rsidR="00B8116E">
        <w:rPr>
          <w:rFonts w:ascii="Times New Roman" w:eastAsia="Times New Roman" w:hAnsi="Times New Roman" w:cs="Times New Roman"/>
        </w:rPr>
        <w:t xml:space="preserve"> (</w:t>
      </w:r>
      <w:proofErr w:type="spellStart"/>
      <w:r w:rsidR="00B8116E">
        <w:rPr>
          <w:rFonts w:ascii="Times New Roman" w:eastAsia="Times New Roman" w:hAnsi="Times New Roman" w:cs="Times New Roman"/>
        </w:rPr>
        <w:t>Raustiala</w:t>
      </w:r>
      <w:proofErr w:type="spellEnd"/>
      <w:r w:rsidR="00B8116E">
        <w:rPr>
          <w:rFonts w:ascii="Times New Roman" w:eastAsia="Times New Roman" w:hAnsi="Times New Roman" w:cs="Times New Roman"/>
        </w:rPr>
        <w:t xml:space="preserve"> et Victor 2004 : 279; </w:t>
      </w:r>
      <w:proofErr w:type="spellStart"/>
      <w:r w:rsidR="00B8116E">
        <w:rPr>
          <w:rFonts w:ascii="Times New Roman" w:eastAsia="Times New Roman" w:hAnsi="Times New Roman" w:cs="Times New Roman"/>
        </w:rPr>
        <w:t>Pauwelyn</w:t>
      </w:r>
      <w:proofErr w:type="spellEnd"/>
      <w:r w:rsidR="00572C9F">
        <w:rPr>
          <w:rFonts w:ascii="Times New Roman" w:eastAsia="Times New Roman" w:hAnsi="Times New Roman" w:cs="Times New Roman"/>
        </w:rPr>
        <w:t xml:space="preserve"> 2014 : 12; Meunier et Morin</w:t>
      </w:r>
      <w:r w:rsidR="00CE78A9" w:rsidRPr="00CE78A9">
        <w:rPr>
          <w:rFonts w:ascii="Times New Roman" w:eastAsia="Times New Roman" w:hAnsi="Times New Roman" w:cs="Times New Roman"/>
        </w:rPr>
        <w:t xml:space="preserve"> 2014 : 148).</w:t>
      </w:r>
      <w:r w:rsidR="00CE78A9">
        <w:rPr>
          <w:rFonts w:ascii="Times New Roman" w:eastAsia="Times New Roman" w:hAnsi="Times New Roman" w:cs="Times New Roman"/>
        </w:rPr>
        <w:t xml:space="preserve"> </w:t>
      </w:r>
      <w:r w:rsidR="00740E09">
        <w:rPr>
          <w:rFonts w:ascii="Times New Roman" w:eastAsia="Times New Roman" w:hAnsi="Times New Roman" w:cs="Times New Roman"/>
        </w:rPr>
        <w:t xml:space="preserve">Autrement, cet outil </w:t>
      </w:r>
      <w:r w:rsidR="00B8116E">
        <w:rPr>
          <w:rFonts w:ascii="Times New Roman" w:eastAsia="Times New Roman" w:hAnsi="Times New Roman" w:cs="Times New Roman"/>
        </w:rPr>
        <w:t>conceptuel</w:t>
      </w:r>
      <w:r w:rsidR="00740E09">
        <w:rPr>
          <w:rFonts w:ascii="Times New Roman" w:eastAsia="Times New Roman" w:hAnsi="Times New Roman" w:cs="Times New Roman"/>
        </w:rPr>
        <w:t xml:space="preserve"> devient inutile puisqu’il ne permet pas de mettre en lumière de nouveaux phénomènes.</w:t>
      </w:r>
    </w:p>
    <w:p w14:paraId="51C28CC1" w14:textId="2DDD496B" w:rsidR="00E968B8" w:rsidRDefault="00706A48"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Si l’on regarde</w:t>
      </w:r>
      <w:r w:rsidR="00AC4FC7">
        <w:rPr>
          <w:rFonts w:ascii="Times New Roman" w:eastAsia="Times New Roman" w:hAnsi="Times New Roman" w:cs="Times New Roman"/>
        </w:rPr>
        <w:t>,</w:t>
      </w:r>
      <w:r>
        <w:rPr>
          <w:rFonts w:ascii="Times New Roman" w:eastAsia="Times New Roman" w:hAnsi="Times New Roman" w:cs="Times New Roman"/>
        </w:rPr>
        <w:t xml:space="preserve"> par exemple</w:t>
      </w:r>
      <w:r w:rsidR="00AC4FC7">
        <w:rPr>
          <w:rFonts w:ascii="Times New Roman" w:eastAsia="Times New Roman" w:hAnsi="Times New Roman" w:cs="Times New Roman"/>
        </w:rPr>
        <w:t>,</w:t>
      </w:r>
      <w:r>
        <w:rPr>
          <w:rFonts w:ascii="Times New Roman" w:eastAsia="Times New Roman" w:hAnsi="Times New Roman" w:cs="Times New Roman"/>
        </w:rPr>
        <w:t xml:space="preserve"> le</w:t>
      </w:r>
      <w:r w:rsidR="00EE6C22">
        <w:rPr>
          <w:rFonts w:ascii="Times New Roman" w:eastAsia="Times New Roman" w:hAnsi="Times New Roman" w:cs="Times New Roman"/>
        </w:rPr>
        <w:t xml:space="preserve"> système politique interne </w:t>
      </w:r>
      <w:r w:rsidR="00320473">
        <w:rPr>
          <w:rFonts w:ascii="Times New Roman" w:eastAsia="Times New Roman" w:hAnsi="Times New Roman" w:cs="Times New Roman"/>
        </w:rPr>
        <w:t>d’un État, on peut r</w:t>
      </w:r>
      <w:r w:rsidR="00E968B8">
        <w:rPr>
          <w:rFonts w:ascii="Times New Roman" w:eastAsia="Times New Roman" w:hAnsi="Times New Roman" w:cs="Times New Roman"/>
        </w:rPr>
        <w:t>emarquer que diverses entités au sein de son a</w:t>
      </w:r>
      <w:r w:rsidR="00320473">
        <w:rPr>
          <w:rFonts w:ascii="Times New Roman" w:eastAsia="Times New Roman" w:hAnsi="Times New Roman" w:cs="Times New Roman"/>
        </w:rPr>
        <w:t xml:space="preserve">ppareil </w:t>
      </w:r>
      <w:r w:rsidR="00E968B8">
        <w:rPr>
          <w:rFonts w:ascii="Times New Roman" w:eastAsia="Times New Roman" w:hAnsi="Times New Roman" w:cs="Times New Roman"/>
        </w:rPr>
        <w:t>gouvernemental</w:t>
      </w:r>
      <w:r>
        <w:rPr>
          <w:rFonts w:ascii="Times New Roman" w:eastAsia="Times New Roman" w:hAnsi="Times New Roman" w:cs="Times New Roman"/>
        </w:rPr>
        <w:t xml:space="preserve"> </w:t>
      </w:r>
      <w:r w:rsidR="00320473">
        <w:rPr>
          <w:rFonts w:ascii="Times New Roman" w:eastAsia="Times New Roman" w:hAnsi="Times New Roman" w:cs="Times New Roman"/>
        </w:rPr>
        <w:t xml:space="preserve">peuvent adopter des règles </w:t>
      </w:r>
      <w:r w:rsidR="00E968B8">
        <w:rPr>
          <w:rFonts w:ascii="Times New Roman" w:eastAsia="Times New Roman" w:hAnsi="Times New Roman" w:cs="Times New Roman"/>
        </w:rPr>
        <w:t xml:space="preserve">ou des politiques </w:t>
      </w:r>
      <w:r w:rsidR="00320473">
        <w:rPr>
          <w:rFonts w:ascii="Times New Roman" w:eastAsia="Times New Roman" w:hAnsi="Times New Roman" w:cs="Times New Roman"/>
        </w:rPr>
        <w:t>autour d’un même enjeu</w:t>
      </w:r>
      <w:r w:rsidR="00E968B8">
        <w:rPr>
          <w:rFonts w:ascii="Times New Roman" w:eastAsia="Times New Roman" w:hAnsi="Times New Roman" w:cs="Times New Roman"/>
        </w:rPr>
        <w:t>. Cette possibilité ouvre bien évidemment la porte à des contradictions.</w:t>
      </w:r>
      <w:r w:rsidR="00320473">
        <w:rPr>
          <w:rFonts w:ascii="Times New Roman" w:eastAsia="Times New Roman" w:hAnsi="Times New Roman" w:cs="Times New Roman"/>
        </w:rPr>
        <w:t xml:space="preserve"> Toutefois, les systèmes politiques internes, et tout particulièrement </w:t>
      </w:r>
      <w:r w:rsidR="00AC4FC7">
        <w:rPr>
          <w:rFonts w:ascii="Times New Roman" w:eastAsia="Times New Roman" w:hAnsi="Times New Roman" w:cs="Times New Roman"/>
        </w:rPr>
        <w:t>les systèmes</w:t>
      </w:r>
      <w:r w:rsidR="00320473">
        <w:rPr>
          <w:rFonts w:ascii="Times New Roman" w:eastAsia="Times New Roman" w:hAnsi="Times New Roman" w:cs="Times New Roman"/>
        </w:rPr>
        <w:t xml:space="preserve"> fédéraux, sont clairement hiérarchisés et facilitent la résolution</w:t>
      </w:r>
      <w:r w:rsidR="00B8116E">
        <w:rPr>
          <w:rFonts w:ascii="Times New Roman" w:eastAsia="Times New Roman" w:hAnsi="Times New Roman" w:cs="Times New Roman"/>
        </w:rPr>
        <w:t xml:space="preserve"> des possibles conflits (Alter et Meunier</w:t>
      </w:r>
      <w:r w:rsidR="00320473">
        <w:rPr>
          <w:rFonts w:ascii="Times New Roman" w:eastAsia="Times New Roman" w:hAnsi="Times New Roman" w:cs="Times New Roman"/>
        </w:rPr>
        <w:t xml:space="preserve"> </w:t>
      </w:r>
      <w:r w:rsidR="00B8116E">
        <w:rPr>
          <w:rFonts w:ascii="Times New Roman" w:eastAsia="Times New Roman" w:hAnsi="Times New Roman" w:cs="Times New Roman"/>
        </w:rPr>
        <w:t>2006; Alter et Meunier</w:t>
      </w:r>
      <w:r w:rsidR="00C5169D">
        <w:rPr>
          <w:rFonts w:ascii="Times New Roman" w:eastAsia="Times New Roman" w:hAnsi="Times New Roman" w:cs="Times New Roman"/>
        </w:rPr>
        <w:t xml:space="preserve"> 2009).  </w:t>
      </w:r>
      <w:r w:rsidR="00F141FF">
        <w:rPr>
          <w:rFonts w:ascii="Times New Roman" w:eastAsia="Times New Roman" w:hAnsi="Times New Roman" w:cs="Times New Roman"/>
        </w:rPr>
        <w:t xml:space="preserve">Il serait donc peu intéressant d’analyser un tel système </w:t>
      </w:r>
      <w:r w:rsidR="00E968B8">
        <w:rPr>
          <w:rFonts w:ascii="Times New Roman" w:eastAsia="Times New Roman" w:hAnsi="Times New Roman" w:cs="Times New Roman"/>
        </w:rPr>
        <w:t>sous l’angle d’un complexe puisqu’aucune interaction particulière ne résulterait de l’existence de plusieurs acteurs œuvrant autour d’un même enjeu.</w:t>
      </w:r>
    </w:p>
    <w:p w14:paraId="63A97AA2" w14:textId="2E99487E" w:rsidR="00072312" w:rsidRDefault="00C5169D"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À l’inverse</w:t>
      </w:r>
      <w:r w:rsidRPr="001A6C66">
        <w:rPr>
          <w:rFonts w:ascii="Times New Roman" w:eastAsia="Times New Roman" w:hAnsi="Times New Roman" w:cs="Times New Roman"/>
        </w:rPr>
        <w:t xml:space="preserve">, la </w:t>
      </w:r>
      <w:r w:rsidR="00AC4FC7">
        <w:rPr>
          <w:rFonts w:ascii="Times New Roman" w:eastAsia="Times New Roman" w:hAnsi="Times New Roman" w:cs="Times New Roman"/>
        </w:rPr>
        <w:t>sphère internationale se définit</w:t>
      </w:r>
      <w:r w:rsidRPr="001A6C66">
        <w:rPr>
          <w:rFonts w:ascii="Times New Roman" w:eastAsia="Times New Roman" w:hAnsi="Times New Roman" w:cs="Times New Roman"/>
        </w:rPr>
        <w:t xml:space="preserve"> </w:t>
      </w:r>
      <w:r w:rsidR="00C2358D" w:rsidRPr="001A6C66">
        <w:rPr>
          <w:rFonts w:ascii="Times New Roman" w:eastAsia="Times New Roman" w:hAnsi="Times New Roman" w:cs="Times New Roman"/>
        </w:rPr>
        <w:t xml:space="preserve">justement </w:t>
      </w:r>
      <w:r w:rsidRPr="001A6C66">
        <w:rPr>
          <w:rFonts w:ascii="Times New Roman" w:eastAsia="Times New Roman" w:hAnsi="Times New Roman" w:cs="Times New Roman"/>
        </w:rPr>
        <w:t>par l’absence d’une autorité suprême ayant le p</w:t>
      </w:r>
      <w:r w:rsidR="00072312" w:rsidRPr="001A6C66">
        <w:rPr>
          <w:rFonts w:ascii="Times New Roman" w:eastAsia="Times New Roman" w:hAnsi="Times New Roman" w:cs="Times New Roman"/>
        </w:rPr>
        <w:t xml:space="preserve">ouvoir de résoudre les conflits de normes </w:t>
      </w:r>
      <w:r w:rsidR="00572C9F">
        <w:rPr>
          <w:rFonts w:ascii="Times New Roman" w:eastAsia="Times New Roman" w:hAnsi="Times New Roman" w:cs="Times New Roman"/>
        </w:rPr>
        <w:t>(</w:t>
      </w:r>
      <w:proofErr w:type="spellStart"/>
      <w:r w:rsidR="00572C9F">
        <w:rPr>
          <w:rFonts w:ascii="Times New Roman" w:eastAsia="Times New Roman" w:hAnsi="Times New Roman" w:cs="Times New Roman"/>
        </w:rPr>
        <w:t>Raustiala</w:t>
      </w:r>
      <w:proofErr w:type="spellEnd"/>
      <w:r w:rsidR="00572C9F">
        <w:rPr>
          <w:rFonts w:ascii="Times New Roman" w:eastAsia="Times New Roman" w:hAnsi="Times New Roman" w:cs="Times New Roman"/>
        </w:rPr>
        <w:t xml:space="preserve"> et Victor 2004 : 295; Alter et Meunier</w:t>
      </w:r>
      <w:r w:rsidRPr="001A6C66">
        <w:rPr>
          <w:rFonts w:ascii="Times New Roman" w:eastAsia="Times New Roman" w:hAnsi="Times New Roman" w:cs="Times New Roman"/>
        </w:rPr>
        <w:t xml:space="preserve"> 2006 : 365).</w:t>
      </w:r>
      <w:r w:rsidR="00072312" w:rsidRPr="001A6C66">
        <w:rPr>
          <w:rFonts w:ascii="Times New Roman" w:eastAsia="Times New Roman" w:hAnsi="Times New Roman" w:cs="Times New Roman"/>
        </w:rPr>
        <w:t xml:space="preserve"> </w:t>
      </w:r>
      <w:r w:rsidR="00CE78A9" w:rsidRPr="001A6C66">
        <w:rPr>
          <w:rFonts w:ascii="Times New Roman" w:eastAsia="Times New Roman" w:hAnsi="Times New Roman" w:cs="Times New Roman"/>
        </w:rPr>
        <w:t xml:space="preserve">Bien </w:t>
      </w:r>
      <w:r w:rsidR="00AC4FC7">
        <w:rPr>
          <w:rFonts w:ascii="Times New Roman" w:eastAsia="Times New Roman" w:hAnsi="Times New Roman" w:cs="Times New Roman"/>
        </w:rPr>
        <w:t>qu’il</w:t>
      </w:r>
      <w:r w:rsidRPr="001A6C66">
        <w:rPr>
          <w:rFonts w:ascii="Times New Roman" w:eastAsia="Times New Roman" w:hAnsi="Times New Roman" w:cs="Times New Roman"/>
        </w:rPr>
        <w:t xml:space="preserve"> existe certaines règles</w:t>
      </w:r>
      <w:r w:rsidR="00C2358D" w:rsidRPr="001A6C66">
        <w:rPr>
          <w:rFonts w:ascii="Times New Roman" w:eastAsia="Times New Roman" w:hAnsi="Times New Roman" w:cs="Times New Roman"/>
        </w:rPr>
        <w:t xml:space="preserve"> générales</w:t>
      </w:r>
      <w:r w:rsidRPr="001A6C66">
        <w:rPr>
          <w:rFonts w:ascii="Times New Roman" w:eastAsia="Times New Roman" w:hAnsi="Times New Roman" w:cs="Times New Roman"/>
        </w:rPr>
        <w:t xml:space="preserve"> d’interprétation de</w:t>
      </w:r>
      <w:r w:rsidR="00C2358D" w:rsidRPr="001A6C66">
        <w:rPr>
          <w:rFonts w:ascii="Times New Roman" w:eastAsia="Times New Roman" w:hAnsi="Times New Roman" w:cs="Times New Roman"/>
        </w:rPr>
        <w:t>s traités (</w:t>
      </w:r>
      <w:r w:rsidR="00572C9F">
        <w:rPr>
          <w:rFonts w:ascii="Times New Roman" w:eastAsia="Times New Roman" w:hAnsi="Times New Roman" w:cs="Times New Roman"/>
        </w:rPr>
        <w:t xml:space="preserve">Convention de Vienne 1969 : </w:t>
      </w:r>
      <w:r w:rsidR="00C2358D" w:rsidRPr="001A6C66">
        <w:rPr>
          <w:rFonts w:ascii="Times New Roman" w:eastAsia="Times New Roman" w:hAnsi="Times New Roman" w:cs="Times New Roman"/>
        </w:rPr>
        <w:t>art. 31</w:t>
      </w:r>
      <w:r w:rsidR="00572C9F">
        <w:rPr>
          <w:rFonts w:ascii="Times New Roman" w:eastAsia="Times New Roman" w:hAnsi="Times New Roman" w:cs="Times New Roman"/>
        </w:rPr>
        <w:t xml:space="preserve">) </w:t>
      </w:r>
      <w:r w:rsidR="00C2358D" w:rsidRPr="001A6C66">
        <w:rPr>
          <w:rFonts w:ascii="Times New Roman" w:eastAsia="Times New Roman" w:hAnsi="Times New Roman" w:cs="Times New Roman"/>
        </w:rPr>
        <w:t xml:space="preserve">ainsi que des principes comme la </w:t>
      </w:r>
      <w:proofErr w:type="spellStart"/>
      <w:r w:rsidR="00C2358D" w:rsidRPr="001A6C66">
        <w:rPr>
          <w:rFonts w:ascii="Times New Roman" w:eastAsia="Times New Roman" w:hAnsi="Times New Roman" w:cs="Times New Roman"/>
          <w:i/>
        </w:rPr>
        <w:t>lex</w:t>
      </w:r>
      <w:proofErr w:type="spellEnd"/>
      <w:r w:rsidR="00C2358D" w:rsidRPr="001A6C66">
        <w:rPr>
          <w:rFonts w:ascii="Times New Roman" w:eastAsia="Times New Roman" w:hAnsi="Times New Roman" w:cs="Times New Roman"/>
          <w:i/>
        </w:rPr>
        <w:t xml:space="preserve"> posteriori</w:t>
      </w:r>
      <w:r w:rsidR="00C2358D" w:rsidRPr="001A6C66">
        <w:rPr>
          <w:rFonts w:ascii="Times New Roman" w:eastAsia="Times New Roman" w:hAnsi="Times New Roman" w:cs="Times New Roman"/>
        </w:rPr>
        <w:t xml:space="preserve"> ou les normes de </w:t>
      </w:r>
      <w:r w:rsidR="00C2358D" w:rsidRPr="001A6C66">
        <w:rPr>
          <w:rFonts w:ascii="Times New Roman" w:eastAsia="Times New Roman" w:hAnsi="Times New Roman" w:cs="Times New Roman"/>
          <w:i/>
        </w:rPr>
        <w:t xml:space="preserve">jus </w:t>
      </w:r>
      <w:proofErr w:type="spellStart"/>
      <w:r w:rsidR="00C2358D" w:rsidRPr="001A6C66">
        <w:rPr>
          <w:rFonts w:ascii="Times New Roman" w:eastAsia="Times New Roman" w:hAnsi="Times New Roman" w:cs="Times New Roman"/>
          <w:i/>
        </w:rPr>
        <w:t>cogens</w:t>
      </w:r>
      <w:proofErr w:type="spellEnd"/>
      <w:r w:rsidR="00C2358D" w:rsidRPr="001A6C66">
        <w:rPr>
          <w:rFonts w:ascii="Times New Roman" w:eastAsia="Times New Roman" w:hAnsi="Times New Roman" w:cs="Times New Roman"/>
          <w:i/>
        </w:rPr>
        <w:t xml:space="preserve">, </w:t>
      </w:r>
      <w:r w:rsidR="00C2358D" w:rsidRPr="001A6C66">
        <w:rPr>
          <w:rFonts w:ascii="Times New Roman" w:eastAsia="Times New Roman" w:hAnsi="Times New Roman" w:cs="Times New Roman"/>
        </w:rPr>
        <w:t xml:space="preserve">il est impossible d’affirmer qu’une réelle hiérarchisation des règles de droit international existe. </w:t>
      </w:r>
      <w:r w:rsidR="00072312" w:rsidRPr="001A6C66">
        <w:rPr>
          <w:rFonts w:ascii="Times New Roman" w:eastAsia="Times New Roman" w:hAnsi="Times New Roman" w:cs="Times New Roman"/>
        </w:rPr>
        <w:t>Le droit international</w:t>
      </w:r>
      <w:r w:rsidR="00E968B8">
        <w:rPr>
          <w:rFonts w:ascii="Times New Roman" w:eastAsia="Times New Roman" w:hAnsi="Times New Roman" w:cs="Times New Roman"/>
        </w:rPr>
        <w:t xml:space="preserve"> des investissements ne peut</w:t>
      </w:r>
      <w:r w:rsidR="00AC4FC7">
        <w:rPr>
          <w:rFonts w:ascii="Times New Roman" w:eastAsia="Times New Roman" w:hAnsi="Times New Roman" w:cs="Times New Roman"/>
        </w:rPr>
        <w:t>,</w:t>
      </w:r>
      <w:r w:rsidR="00E968B8">
        <w:rPr>
          <w:rFonts w:ascii="Times New Roman" w:eastAsia="Times New Roman" w:hAnsi="Times New Roman" w:cs="Times New Roman"/>
        </w:rPr>
        <w:t xml:space="preserve"> par exemple</w:t>
      </w:r>
      <w:r w:rsidR="00AC4FC7">
        <w:rPr>
          <w:rFonts w:ascii="Times New Roman" w:eastAsia="Times New Roman" w:hAnsi="Times New Roman" w:cs="Times New Roman"/>
        </w:rPr>
        <w:t>,</w:t>
      </w:r>
      <w:r w:rsidR="00E968B8">
        <w:rPr>
          <w:rFonts w:ascii="Times New Roman" w:eastAsia="Times New Roman" w:hAnsi="Times New Roman" w:cs="Times New Roman"/>
        </w:rPr>
        <w:t xml:space="preserve"> </w:t>
      </w:r>
      <w:r w:rsidR="00DA680B" w:rsidRPr="001A6C66">
        <w:rPr>
          <w:rFonts w:ascii="Times New Roman" w:eastAsia="Times New Roman" w:hAnsi="Times New Roman" w:cs="Times New Roman"/>
        </w:rPr>
        <w:t xml:space="preserve">s’imposer au droit de l’environnement. </w:t>
      </w:r>
      <w:r w:rsidR="00E968B8">
        <w:rPr>
          <w:rFonts w:ascii="Times New Roman" w:eastAsia="Times New Roman" w:hAnsi="Times New Roman" w:cs="Times New Roman"/>
        </w:rPr>
        <w:t>De même</w:t>
      </w:r>
      <w:r w:rsidR="00CE78A9" w:rsidRPr="001A6C66">
        <w:rPr>
          <w:rFonts w:ascii="Times New Roman" w:eastAsia="Times New Roman" w:hAnsi="Times New Roman" w:cs="Times New Roman"/>
        </w:rPr>
        <w:t>, une décision rendue dans un forum n’a pas plus de valeur que celle rendue dans un autre forum</w:t>
      </w:r>
      <w:r w:rsidR="001A6C66" w:rsidRPr="001A6C66">
        <w:rPr>
          <w:rFonts w:ascii="Times New Roman" w:eastAsia="Times New Roman" w:hAnsi="Times New Roman" w:cs="Times New Roman"/>
        </w:rPr>
        <w:t xml:space="preserve">. Par exemple, les décisions rendues par un tribunal créé sous l’égide de la CNUDCI ne priment pas et non pas d’autorité sur celles rendues par les tribunaux du CIRDI. L’absence de </w:t>
      </w:r>
      <w:proofErr w:type="spellStart"/>
      <w:r w:rsidR="001A6C66" w:rsidRPr="001A6C66">
        <w:rPr>
          <w:rFonts w:ascii="Times New Roman" w:eastAsia="Times New Roman" w:hAnsi="Times New Roman" w:cs="Times New Roman"/>
          <w:i/>
        </w:rPr>
        <w:t>stare</w:t>
      </w:r>
      <w:proofErr w:type="spellEnd"/>
      <w:r w:rsidR="001A6C66" w:rsidRPr="001A6C66">
        <w:rPr>
          <w:rFonts w:ascii="Times New Roman" w:eastAsia="Times New Roman" w:hAnsi="Times New Roman" w:cs="Times New Roman"/>
          <w:i/>
        </w:rPr>
        <w:t xml:space="preserve"> </w:t>
      </w:r>
      <w:proofErr w:type="spellStart"/>
      <w:r w:rsidR="001A6C66" w:rsidRPr="001A6C66">
        <w:rPr>
          <w:rFonts w:ascii="Times New Roman" w:eastAsia="Times New Roman" w:hAnsi="Times New Roman" w:cs="Times New Roman"/>
          <w:i/>
        </w:rPr>
        <w:t>decisis</w:t>
      </w:r>
      <w:proofErr w:type="spellEnd"/>
      <w:r w:rsidR="001A6C66" w:rsidRPr="001A6C66">
        <w:rPr>
          <w:rFonts w:ascii="Times New Roman" w:eastAsia="Times New Roman" w:hAnsi="Times New Roman" w:cs="Times New Roman"/>
          <w:i/>
        </w:rPr>
        <w:t xml:space="preserve"> </w:t>
      </w:r>
      <w:r w:rsidR="001A6C66" w:rsidRPr="001A6C66">
        <w:rPr>
          <w:rFonts w:ascii="Times New Roman" w:eastAsia="Times New Roman" w:hAnsi="Times New Roman" w:cs="Times New Roman"/>
        </w:rPr>
        <w:t>est d’ailleurs une caractéristique récurrente du droit international</w:t>
      </w:r>
      <w:r w:rsidR="00EF1F8A">
        <w:rPr>
          <w:rFonts w:ascii="Times New Roman" w:eastAsia="Times New Roman" w:hAnsi="Times New Roman" w:cs="Times New Roman"/>
        </w:rPr>
        <w:t xml:space="preserve"> et, plus particulièrement, du droit international des investissements</w:t>
      </w:r>
      <w:r w:rsidR="001A6C66" w:rsidRPr="001A6C66">
        <w:rPr>
          <w:rFonts w:ascii="Times New Roman" w:eastAsia="Times New Roman" w:hAnsi="Times New Roman" w:cs="Times New Roman"/>
        </w:rPr>
        <w:t xml:space="preserve">. En </w:t>
      </w:r>
      <w:r w:rsidR="00F47DB8" w:rsidRPr="001A6C66">
        <w:rPr>
          <w:rFonts w:ascii="Times New Roman" w:eastAsia="Times New Roman" w:hAnsi="Times New Roman" w:cs="Times New Roman"/>
        </w:rPr>
        <w:lastRenderedPageBreak/>
        <w:t>d’autres mots, la fragmenta</w:t>
      </w:r>
      <w:r w:rsidR="00E968B8">
        <w:rPr>
          <w:rFonts w:ascii="Times New Roman" w:eastAsia="Times New Roman" w:hAnsi="Times New Roman" w:cs="Times New Roman"/>
        </w:rPr>
        <w:t xml:space="preserve">tion du droit international et </w:t>
      </w:r>
      <w:r w:rsidR="00F47DB8" w:rsidRPr="001A6C66">
        <w:rPr>
          <w:rFonts w:ascii="Times New Roman" w:eastAsia="Times New Roman" w:hAnsi="Times New Roman" w:cs="Times New Roman"/>
        </w:rPr>
        <w:t xml:space="preserve">du système international </w:t>
      </w:r>
      <w:r w:rsidR="00E968B8">
        <w:rPr>
          <w:rFonts w:ascii="Times New Roman" w:eastAsia="Times New Roman" w:hAnsi="Times New Roman" w:cs="Times New Roman"/>
        </w:rPr>
        <w:t xml:space="preserve">dans </w:t>
      </w:r>
      <w:r w:rsidR="00AC4FC7">
        <w:rPr>
          <w:rFonts w:ascii="Times New Roman" w:eastAsia="Times New Roman" w:hAnsi="Times New Roman" w:cs="Times New Roman"/>
        </w:rPr>
        <w:t xml:space="preserve">son </w:t>
      </w:r>
      <w:r w:rsidR="00E968B8">
        <w:rPr>
          <w:rFonts w:ascii="Times New Roman" w:eastAsia="Times New Roman" w:hAnsi="Times New Roman" w:cs="Times New Roman"/>
        </w:rPr>
        <w:t>ensemble sont des facteurs essentiels à la pertinence du</w:t>
      </w:r>
      <w:r w:rsidR="00F47DB8" w:rsidRPr="001A6C66">
        <w:rPr>
          <w:rFonts w:ascii="Times New Roman" w:eastAsia="Times New Roman" w:hAnsi="Times New Roman" w:cs="Times New Roman"/>
        </w:rPr>
        <w:t xml:space="preserve"> concept de complexe</w:t>
      </w:r>
      <w:r w:rsidR="00E968B8">
        <w:rPr>
          <w:rFonts w:ascii="Times New Roman" w:eastAsia="Times New Roman" w:hAnsi="Times New Roman" w:cs="Times New Roman"/>
        </w:rPr>
        <w:t xml:space="preserve"> d’institutions.</w:t>
      </w:r>
    </w:p>
    <w:p w14:paraId="185D52A4" w14:textId="3C7B0B72" w:rsidR="00466BDB" w:rsidRDefault="00AC4FC7"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La prudence s’impose afin</w:t>
      </w:r>
      <w:r w:rsidR="00F141FF">
        <w:rPr>
          <w:rFonts w:ascii="Times New Roman" w:eastAsia="Times New Roman" w:hAnsi="Times New Roman" w:cs="Times New Roman"/>
        </w:rPr>
        <w:t xml:space="preserve"> de ne pas</w:t>
      </w:r>
      <w:r w:rsidR="00D9145A">
        <w:rPr>
          <w:rFonts w:ascii="Times New Roman" w:eastAsia="Times New Roman" w:hAnsi="Times New Roman" w:cs="Times New Roman"/>
        </w:rPr>
        <w:t xml:space="preserve"> mentalement égaler</w:t>
      </w:r>
      <w:r w:rsidR="00F141FF">
        <w:rPr>
          <w:rFonts w:ascii="Times New Roman" w:eastAsia="Times New Roman" w:hAnsi="Times New Roman" w:cs="Times New Roman"/>
        </w:rPr>
        <w:t xml:space="preserve"> fragmentation</w:t>
      </w:r>
      <w:r w:rsidR="00D9145A">
        <w:rPr>
          <w:rFonts w:ascii="Times New Roman" w:eastAsia="Times New Roman" w:hAnsi="Times New Roman" w:cs="Times New Roman"/>
        </w:rPr>
        <w:t xml:space="preserve"> et absence de hiérarchie à</w:t>
      </w:r>
      <w:r w:rsidR="000A1131">
        <w:rPr>
          <w:rFonts w:ascii="Times New Roman" w:eastAsia="Times New Roman" w:hAnsi="Times New Roman" w:cs="Times New Roman"/>
        </w:rPr>
        <w:t xml:space="preserve"> </w:t>
      </w:r>
      <w:r w:rsidR="00FF1155">
        <w:rPr>
          <w:rFonts w:ascii="Times New Roman" w:eastAsia="Times New Roman" w:hAnsi="Times New Roman" w:cs="Times New Roman"/>
        </w:rPr>
        <w:t>chaos</w:t>
      </w:r>
      <w:r w:rsidR="00D9145A">
        <w:rPr>
          <w:rFonts w:ascii="Times New Roman" w:eastAsia="Times New Roman" w:hAnsi="Times New Roman" w:cs="Times New Roman"/>
        </w:rPr>
        <w:t xml:space="preserve">. Un complexe de régime est en </w:t>
      </w:r>
      <w:r>
        <w:rPr>
          <w:rFonts w:ascii="Times New Roman" w:eastAsia="Times New Roman" w:hAnsi="Times New Roman" w:cs="Times New Roman"/>
        </w:rPr>
        <w:t>réalité</w:t>
      </w:r>
      <w:r w:rsidR="00D9145A">
        <w:rPr>
          <w:rFonts w:ascii="Times New Roman" w:eastAsia="Times New Roman" w:hAnsi="Times New Roman" w:cs="Times New Roman"/>
        </w:rPr>
        <w:t xml:space="preserve"> à la limite entre un système </w:t>
      </w:r>
      <w:r w:rsidR="00EC66D0">
        <w:rPr>
          <w:rFonts w:ascii="Times New Roman" w:eastAsia="Times New Roman" w:hAnsi="Times New Roman" w:cs="Times New Roman"/>
        </w:rPr>
        <w:t>chaotique et ordonné</w:t>
      </w:r>
      <w:r w:rsidR="00572C9F">
        <w:rPr>
          <w:rFonts w:ascii="Times New Roman" w:eastAsia="Times New Roman" w:hAnsi="Times New Roman" w:cs="Times New Roman"/>
        </w:rPr>
        <w:t xml:space="preserve"> (</w:t>
      </w:r>
      <w:proofErr w:type="spellStart"/>
      <w:r w:rsidR="00572C9F">
        <w:rPr>
          <w:rFonts w:ascii="Times New Roman" w:eastAsia="Times New Roman" w:hAnsi="Times New Roman" w:cs="Times New Roman"/>
        </w:rPr>
        <w:t>Pauwelyn</w:t>
      </w:r>
      <w:proofErr w:type="spellEnd"/>
      <w:r w:rsidR="00D9145A">
        <w:rPr>
          <w:rFonts w:ascii="Times New Roman" w:eastAsia="Times New Roman" w:hAnsi="Times New Roman" w:cs="Times New Roman"/>
        </w:rPr>
        <w:t xml:space="preserve"> 2014 : 5). </w:t>
      </w:r>
      <w:r w:rsidR="00EC66D0">
        <w:rPr>
          <w:rFonts w:ascii="Times New Roman" w:eastAsia="Times New Roman" w:hAnsi="Times New Roman" w:cs="Times New Roman"/>
        </w:rPr>
        <w:t xml:space="preserve">Il est vrai que </w:t>
      </w:r>
      <w:r w:rsidR="00466BDB">
        <w:rPr>
          <w:rFonts w:ascii="Times New Roman" w:eastAsia="Times New Roman" w:hAnsi="Times New Roman" w:cs="Times New Roman"/>
        </w:rPr>
        <w:t xml:space="preserve">les complexes sont rarement prévus et résultent de l’évolution graduelle des interactions entre les différents régimes qui </w:t>
      </w:r>
      <w:r w:rsidR="00572C9F">
        <w:rPr>
          <w:rFonts w:ascii="Times New Roman" w:eastAsia="Times New Roman" w:hAnsi="Times New Roman" w:cs="Times New Roman"/>
        </w:rPr>
        <w:t>les composent (</w:t>
      </w:r>
      <w:proofErr w:type="spellStart"/>
      <w:r w:rsidR="00572C9F">
        <w:rPr>
          <w:rFonts w:ascii="Times New Roman" w:eastAsia="Times New Roman" w:hAnsi="Times New Roman" w:cs="Times New Roman"/>
        </w:rPr>
        <w:t>Gehring</w:t>
      </w:r>
      <w:proofErr w:type="spellEnd"/>
      <w:r w:rsidR="00572C9F">
        <w:rPr>
          <w:rFonts w:ascii="Times New Roman" w:eastAsia="Times New Roman" w:hAnsi="Times New Roman" w:cs="Times New Roman"/>
        </w:rPr>
        <w:t xml:space="preserve"> et </w:t>
      </w:r>
      <w:proofErr w:type="spellStart"/>
      <w:r w:rsidR="00572C9F">
        <w:rPr>
          <w:rFonts w:ascii="Times New Roman" w:eastAsia="Times New Roman" w:hAnsi="Times New Roman" w:cs="Times New Roman"/>
        </w:rPr>
        <w:t>Faude</w:t>
      </w:r>
      <w:proofErr w:type="spellEnd"/>
      <w:r w:rsidR="00572C9F">
        <w:rPr>
          <w:rFonts w:ascii="Times New Roman" w:eastAsia="Times New Roman" w:hAnsi="Times New Roman" w:cs="Times New Roman"/>
        </w:rPr>
        <w:t xml:space="preserve"> </w:t>
      </w:r>
      <w:r w:rsidR="00EC66D0">
        <w:rPr>
          <w:rFonts w:ascii="Times New Roman" w:eastAsia="Times New Roman" w:hAnsi="Times New Roman" w:cs="Times New Roman"/>
        </w:rPr>
        <w:t>2013 : 121). De même</w:t>
      </w:r>
      <w:r w:rsidR="00466BDB">
        <w:rPr>
          <w:rFonts w:ascii="Times New Roman" w:eastAsia="Times New Roman" w:hAnsi="Times New Roman" w:cs="Times New Roman"/>
        </w:rPr>
        <w:t xml:space="preserve">, ils permettent </w:t>
      </w:r>
      <w:r w:rsidR="00EC66D0">
        <w:rPr>
          <w:rFonts w:ascii="Times New Roman" w:eastAsia="Times New Roman" w:hAnsi="Times New Roman" w:cs="Times New Roman"/>
        </w:rPr>
        <w:t xml:space="preserve">plus aisément les changements qui peuvent ensuite se répercuter </w:t>
      </w:r>
      <w:r w:rsidR="00F82BEF">
        <w:rPr>
          <w:rFonts w:ascii="Times New Roman" w:eastAsia="Times New Roman" w:hAnsi="Times New Roman" w:cs="Times New Roman"/>
        </w:rPr>
        <w:t>à travers le complexe (Meunier et Morin</w:t>
      </w:r>
      <w:r w:rsidR="00EC66D0">
        <w:rPr>
          <w:rFonts w:ascii="Times New Roman" w:eastAsia="Times New Roman" w:hAnsi="Times New Roman" w:cs="Times New Roman"/>
        </w:rPr>
        <w:t xml:space="preserve"> 2014 : 147-148). </w:t>
      </w:r>
      <w:r w:rsidR="00FD25BF">
        <w:rPr>
          <w:rFonts w:ascii="Times New Roman" w:eastAsia="Times New Roman" w:hAnsi="Times New Roman" w:cs="Times New Roman"/>
        </w:rPr>
        <w:t xml:space="preserve">Le droit des investissements étrangers, contrairement à d’autres sphères du droit international, ne s’est justement pas </w:t>
      </w:r>
      <w:r w:rsidR="00A346BF">
        <w:rPr>
          <w:rFonts w:ascii="Times New Roman" w:eastAsia="Times New Roman" w:hAnsi="Times New Roman" w:cs="Times New Roman"/>
        </w:rPr>
        <w:t>développé selon un plan préétabli</w:t>
      </w:r>
      <w:r w:rsidR="000C71D8">
        <w:rPr>
          <w:rFonts w:ascii="Times New Roman" w:eastAsia="Times New Roman" w:hAnsi="Times New Roman" w:cs="Times New Roman"/>
        </w:rPr>
        <w:t xml:space="preserve"> par les États</w:t>
      </w:r>
      <w:r w:rsidR="00A346BF">
        <w:rPr>
          <w:rFonts w:ascii="Times New Roman" w:eastAsia="Times New Roman" w:hAnsi="Times New Roman" w:cs="Times New Roman"/>
        </w:rPr>
        <w:t> :</w:t>
      </w:r>
    </w:p>
    <w:p w14:paraId="50532544" w14:textId="5772EC1E" w:rsidR="00A346BF" w:rsidRPr="00525D7F" w:rsidRDefault="00A346BF" w:rsidP="00E17A63">
      <w:pPr>
        <w:spacing w:before="120" w:after="120"/>
        <w:ind w:left="709" w:right="709"/>
        <w:jc w:val="both"/>
        <w:rPr>
          <w:rFonts w:ascii="Times New Roman" w:eastAsia="Times New Roman" w:hAnsi="Times New Roman" w:cs="Times New Roman"/>
          <w:sz w:val="20"/>
        </w:rPr>
      </w:pPr>
      <w:r w:rsidRPr="00A346BF">
        <w:rPr>
          <w:rFonts w:ascii="Times New Roman" w:eastAsia="Times New Roman" w:hAnsi="Times New Roman" w:cs="Times New Roman"/>
          <w:i/>
          <w:sz w:val="20"/>
          <w:lang w:val="en-AU"/>
        </w:rPr>
        <w:t xml:space="preserve">[Foreign investment law] did not emerge from major constitutional moments where States purposefully designed at least the core of the regime, […] Instead, FIL emerged through an organic process of small increments and accidents. </w:t>
      </w:r>
      <w:r w:rsidRPr="00C05F6A">
        <w:rPr>
          <w:rFonts w:ascii="Times New Roman" w:eastAsia="Times New Roman" w:hAnsi="Times New Roman" w:cs="Times New Roman"/>
          <w:sz w:val="20"/>
        </w:rPr>
        <w:t>(</w:t>
      </w:r>
      <w:proofErr w:type="spellStart"/>
      <w:r w:rsidRPr="00C05F6A">
        <w:rPr>
          <w:rFonts w:ascii="Times New Roman" w:eastAsia="Times New Roman" w:hAnsi="Times New Roman" w:cs="Times New Roman"/>
          <w:sz w:val="20"/>
        </w:rPr>
        <w:t>Pauwelyn</w:t>
      </w:r>
      <w:proofErr w:type="spellEnd"/>
      <w:r w:rsidRPr="00C05F6A">
        <w:rPr>
          <w:rFonts w:ascii="Times New Roman" w:eastAsia="Times New Roman" w:hAnsi="Times New Roman" w:cs="Times New Roman"/>
          <w:sz w:val="20"/>
        </w:rPr>
        <w:t xml:space="preserve"> 2014: 7-8)</w:t>
      </w:r>
    </w:p>
    <w:p w14:paraId="589B47E8" w14:textId="3BF5581F" w:rsidR="00A346BF" w:rsidRDefault="00A346BF"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Néanmoins, les complexes comme celui du régime des investi</w:t>
      </w:r>
      <w:r w:rsidR="000C71D8">
        <w:rPr>
          <w:rFonts w:ascii="Times New Roman" w:eastAsia="Times New Roman" w:hAnsi="Times New Roman" w:cs="Times New Roman"/>
        </w:rPr>
        <w:t xml:space="preserve">ssements sont </w:t>
      </w:r>
      <w:r>
        <w:rPr>
          <w:rFonts w:ascii="Times New Roman" w:eastAsia="Times New Roman" w:hAnsi="Times New Roman" w:cs="Times New Roman"/>
        </w:rPr>
        <w:t xml:space="preserve">relativement stables et durables dans le temps. </w:t>
      </w:r>
      <w:r w:rsidR="000C71D8">
        <w:rPr>
          <w:rFonts w:ascii="Times New Roman" w:eastAsia="Times New Roman" w:hAnsi="Times New Roman" w:cs="Times New Roman"/>
        </w:rPr>
        <w:t xml:space="preserve">Ainsi, même si </w:t>
      </w:r>
      <w:r w:rsidR="00EF08B9">
        <w:rPr>
          <w:rFonts w:ascii="Times New Roman" w:eastAsia="Times New Roman" w:hAnsi="Times New Roman" w:cs="Times New Roman"/>
        </w:rPr>
        <w:t xml:space="preserve">le droit international des investissements est l’une des branches </w:t>
      </w:r>
      <w:r w:rsidR="000A1131">
        <w:rPr>
          <w:rFonts w:ascii="Times New Roman" w:eastAsia="Times New Roman" w:hAnsi="Times New Roman" w:cs="Times New Roman"/>
        </w:rPr>
        <w:t xml:space="preserve">les plus contestées </w:t>
      </w:r>
      <w:r w:rsidR="00EF08B9">
        <w:rPr>
          <w:rFonts w:ascii="Times New Roman" w:eastAsia="Times New Roman" w:hAnsi="Times New Roman" w:cs="Times New Roman"/>
        </w:rPr>
        <w:t>du droit international (</w:t>
      </w:r>
      <w:proofErr w:type="spellStart"/>
      <w:r w:rsidR="00F82BEF">
        <w:rPr>
          <w:rFonts w:ascii="Times New Roman" w:eastAsia="Times New Roman" w:hAnsi="Times New Roman" w:cs="Times New Roman"/>
        </w:rPr>
        <w:t>Kahale</w:t>
      </w:r>
      <w:proofErr w:type="spellEnd"/>
      <w:r w:rsidR="20840E52" w:rsidRPr="20840E52">
        <w:rPr>
          <w:rFonts w:ascii="Times New Roman" w:eastAsia="Times New Roman" w:hAnsi="Times New Roman" w:cs="Times New Roman"/>
        </w:rPr>
        <w:t xml:space="preserve"> 2012; </w:t>
      </w:r>
      <w:proofErr w:type="spellStart"/>
      <w:r w:rsidR="00F82BEF">
        <w:rPr>
          <w:rFonts w:ascii="Times New Roman" w:eastAsia="Times New Roman" w:hAnsi="Times New Roman" w:cs="Times New Roman"/>
        </w:rPr>
        <w:t>Poulsen</w:t>
      </w:r>
      <w:proofErr w:type="spellEnd"/>
      <w:r w:rsidR="20840E52" w:rsidRPr="20840E52">
        <w:rPr>
          <w:rFonts w:ascii="Times New Roman" w:eastAsia="Times New Roman" w:hAnsi="Times New Roman" w:cs="Times New Roman"/>
        </w:rPr>
        <w:t xml:space="preserve"> 2015 : 4)</w:t>
      </w:r>
      <w:r w:rsidR="00EF08B9">
        <w:rPr>
          <w:rFonts w:ascii="Times New Roman" w:eastAsia="Times New Roman" w:hAnsi="Times New Roman" w:cs="Times New Roman"/>
        </w:rPr>
        <w:t>, il reste « d</w:t>
      </w:r>
      <w:r w:rsidR="00F82BEF">
        <w:rPr>
          <w:rFonts w:ascii="Times New Roman" w:eastAsia="Times New Roman" w:hAnsi="Times New Roman" w:cs="Times New Roman"/>
        </w:rPr>
        <w:t>ynamiquement stable » (</w:t>
      </w:r>
      <w:proofErr w:type="spellStart"/>
      <w:r w:rsidR="00F82BEF">
        <w:rPr>
          <w:rFonts w:ascii="Times New Roman" w:eastAsia="Times New Roman" w:hAnsi="Times New Roman" w:cs="Times New Roman"/>
        </w:rPr>
        <w:t>Pauwelyn</w:t>
      </w:r>
      <w:proofErr w:type="spellEnd"/>
      <w:r w:rsidR="00EF08B9">
        <w:rPr>
          <w:rFonts w:ascii="Times New Roman" w:eastAsia="Times New Roman" w:hAnsi="Times New Roman" w:cs="Times New Roman"/>
        </w:rPr>
        <w:t xml:space="preserve"> 2014 : 8). </w:t>
      </w:r>
      <w:r w:rsidR="00562027">
        <w:rPr>
          <w:rFonts w:ascii="Times New Roman" w:eastAsia="Times New Roman" w:hAnsi="Times New Roman" w:cs="Times New Roman"/>
        </w:rPr>
        <w:t xml:space="preserve">En réalité, la flexibilité qu’offre le complexe d’institutions sur l’investissement pourrait même avoir l’effet d’en favoriser la stabilité puisque cela lui permet de </w:t>
      </w:r>
      <w:r w:rsidR="00FF1155">
        <w:rPr>
          <w:rFonts w:ascii="Times New Roman" w:eastAsia="Times New Roman" w:hAnsi="Times New Roman" w:cs="Times New Roman"/>
        </w:rPr>
        <w:t xml:space="preserve">s'adapter </w:t>
      </w:r>
      <w:r w:rsidR="00AC4FC7">
        <w:rPr>
          <w:rFonts w:ascii="Times New Roman" w:eastAsia="Times New Roman" w:hAnsi="Times New Roman" w:cs="Times New Roman"/>
        </w:rPr>
        <w:t xml:space="preserve">plus facilement </w:t>
      </w:r>
      <w:r w:rsidR="00FF1155">
        <w:rPr>
          <w:rFonts w:ascii="Times New Roman" w:eastAsia="Times New Roman" w:hAnsi="Times New Roman" w:cs="Times New Roman"/>
        </w:rPr>
        <w:t xml:space="preserve">que d'autres systèmes. </w:t>
      </w:r>
      <w:proofErr w:type="spellStart"/>
      <w:r w:rsidR="00FD52AF">
        <w:rPr>
          <w:rFonts w:ascii="Times New Roman" w:eastAsia="Times New Roman" w:hAnsi="Times New Roman" w:cs="Times New Roman"/>
        </w:rPr>
        <w:t>Rosendorff</w:t>
      </w:r>
      <w:proofErr w:type="spellEnd"/>
      <w:r w:rsidR="00FD52AF">
        <w:rPr>
          <w:rFonts w:ascii="Times New Roman" w:eastAsia="Times New Roman" w:hAnsi="Times New Roman" w:cs="Times New Roman"/>
        </w:rPr>
        <w:t xml:space="preserve"> </w:t>
      </w:r>
      <w:r w:rsidR="00562027">
        <w:rPr>
          <w:rFonts w:ascii="Times New Roman" w:eastAsia="Times New Roman" w:hAnsi="Times New Roman" w:cs="Times New Roman"/>
        </w:rPr>
        <w:t>soutenait justement</w:t>
      </w:r>
      <w:r w:rsidR="00FD52AF">
        <w:rPr>
          <w:rFonts w:ascii="Times New Roman" w:eastAsia="Times New Roman" w:hAnsi="Times New Roman" w:cs="Times New Roman"/>
        </w:rPr>
        <w:t xml:space="preserve"> </w:t>
      </w:r>
      <w:r w:rsidR="00562027">
        <w:rPr>
          <w:rFonts w:ascii="Times New Roman" w:eastAsia="Times New Roman" w:hAnsi="Times New Roman" w:cs="Times New Roman"/>
        </w:rPr>
        <w:t>que c’est la flexibilité,</w:t>
      </w:r>
      <w:r w:rsidR="00AC4FC7">
        <w:rPr>
          <w:rFonts w:ascii="Times New Roman" w:eastAsia="Times New Roman" w:hAnsi="Times New Roman" w:cs="Times New Roman"/>
        </w:rPr>
        <w:t xml:space="preserve"> et non </w:t>
      </w:r>
      <w:r w:rsidR="00562027">
        <w:rPr>
          <w:rFonts w:ascii="Times New Roman" w:eastAsia="Times New Roman" w:hAnsi="Times New Roman" w:cs="Times New Roman"/>
        </w:rPr>
        <w:t>la rigidité, des mécanismes de</w:t>
      </w:r>
      <w:r w:rsidR="00FF1155">
        <w:rPr>
          <w:rFonts w:ascii="Times New Roman" w:eastAsia="Times New Roman" w:hAnsi="Times New Roman" w:cs="Times New Roman"/>
        </w:rPr>
        <w:t xml:space="preserve"> règlement des différends de</w:t>
      </w:r>
      <w:r w:rsidR="00562027">
        <w:rPr>
          <w:rFonts w:ascii="Times New Roman" w:eastAsia="Times New Roman" w:hAnsi="Times New Roman" w:cs="Times New Roman"/>
        </w:rPr>
        <w:t xml:space="preserve"> l’OMC qu</w:t>
      </w:r>
      <w:r w:rsidR="005E44C8">
        <w:rPr>
          <w:rFonts w:ascii="Times New Roman" w:eastAsia="Times New Roman" w:hAnsi="Times New Roman" w:cs="Times New Roman"/>
        </w:rPr>
        <w:t>i lui permet d’être stable (2005</w:t>
      </w:r>
      <w:r w:rsidR="00562027">
        <w:rPr>
          <w:rFonts w:ascii="Times New Roman" w:eastAsia="Times New Roman" w:hAnsi="Times New Roman" w:cs="Times New Roman"/>
        </w:rPr>
        <w:t xml:space="preserve">). </w:t>
      </w:r>
      <w:r w:rsidR="00604A14">
        <w:rPr>
          <w:rFonts w:ascii="Times New Roman" w:eastAsia="Times New Roman" w:hAnsi="Times New Roman" w:cs="Times New Roman"/>
        </w:rPr>
        <w:t xml:space="preserve">Le régime des investissements ayant </w:t>
      </w:r>
      <w:r w:rsidR="00562027">
        <w:rPr>
          <w:rFonts w:ascii="Times New Roman" w:eastAsia="Times New Roman" w:hAnsi="Times New Roman" w:cs="Times New Roman"/>
        </w:rPr>
        <w:t xml:space="preserve">maintenant </w:t>
      </w:r>
      <w:r w:rsidR="00604A14">
        <w:rPr>
          <w:rFonts w:ascii="Times New Roman" w:eastAsia="Times New Roman" w:hAnsi="Times New Roman" w:cs="Times New Roman"/>
        </w:rPr>
        <w:t xml:space="preserve">été défini comme un complexe d’institutions, la prochaine section s’attardera à présenter les différentes implications d’un tel environnement institutionnel. </w:t>
      </w:r>
    </w:p>
    <w:p w14:paraId="4E190759" w14:textId="692BC6F7" w:rsidR="00DF77FB" w:rsidRPr="006A5780" w:rsidRDefault="00CC3FA7" w:rsidP="00BA43F7">
      <w:pPr>
        <w:pStyle w:val="Titre2"/>
        <w:spacing w:before="120" w:after="120"/>
        <w:rPr>
          <w:rFonts w:ascii="Times New Roman" w:hAnsi="Times New Roman" w:cs="Times New Roman"/>
          <w:color w:val="auto"/>
          <w:u w:val="single"/>
        </w:rPr>
      </w:pPr>
      <w:bookmarkStart w:id="3" w:name="_Toc313471455"/>
      <w:r w:rsidRPr="006A5780">
        <w:rPr>
          <w:rFonts w:ascii="Times New Roman" w:hAnsi="Times New Roman" w:cs="Times New Roman"/>
          <w:color w:val="auto"/>
          <w:u w:val="single"/>
        </w:rPr>
        <w:t xml:space="preserve">2.2 </w:t>
      </w:r>
      <w:r w:rsidR="00C65322" w:rsidRPr="006A5780">
        <w:rPr>
          <w:rFonts w:ascii="Times New Roman" w:hAnsi="Times New Roman" w:cs="Times New Roman"/>
          <w:color w:val="auto"/>
          <w:u w:val="single"/>
        </w:rPr>
        <w:t>Un système aux multiples implications</w:t>
      </w:r>
      <w:bookmarkEnd w:id="3"/>
      <w:r w:rsidR="00C65322" w:rsidRPr="006A5780">
        <w:rPr>
          <w:rFonts w:ascii="Times New Roman" w:hAnsi="Times New Roman" w:cs="Times New Roman"/>
          <w:color w:val="auto"/>
          <w:u w:val="single"/>
        </w:rPr>
        <w:t xml:space="preserve"> </w:t>
      </w:r>
    </w:p>
    <w:p w14:paraId="2C4AB3AE" w14:textId="3BC4FE37" w:rsidR="00DF7B6C" w:rsidRDefault="00B22FB5" w:rsidP="00BA43F7">
      <w:pPr>
        <w:spacing w:before="120" w:after="120" w:line="360" w:lineRule="auto"/>
        <w:jc w:val="both"/>
        <w:rPr>
          <w:rFonts w:ascii="Times New Roman" w:eastAsia="Times New Roman" w:hAnsi="Times New Roman" w:cs="Times New Roman"/>
        </w:rPr>
      </w:pPr>
      <w:r w:rsidRPr="00FB1526">
        <w:rPr>
          <w:rFonts w:ascii="Times New Roman" w:eastAsia="Times New Roman" w:hAnsi="Times New Roman" w:cs="Times New Roman"/>
        </w:rPr>
        <w:t xml:space="preserve">La précédente section </w:t>
      </w:r>
      <w:r w:rsidR="00FF1155">
        <w:rPr>
          <w:rFonts w:ascii="Times New Roman" w:eastAsia="Times New Roman" w:hAnsi="Times New Roman" w:cs="Times New Roman"/>
        </w:rPr>
        <w:t>a</w:t>
      </w:r>
      <w:r w:rsidR="00C2273D">
        <w:rPr>
          <w:rFonts w:ascii="Times New Roman" w:eastAsia="Times New Roman" w:hAnsi="Times New Roman" w:cs="Times New Roman"/>
        </w:rPr>
        <w:t xml:space="preserve"> </w:t>
      </w:r>
      <w:r w:rsidRPr="00FB1526">
        <w:rPr>
          <w:rFonts w:ascii="Times New Roman" w:eastAsia="Times New Roman" w:hAnsi="Times New Roman" w:cs="Times New Roman"/>
        </w:rPr>
        <w:t xml:space="preserve">qualifié le régime des </w:t>
      </w:r>
      <w:r w:rsidR="00525D7F">
        <w:rPr>
          <w:rFonts w:ascii="Times New Roman" w:eastAsia="Times New Roman" w:hAnsi="Times New Roman" w:cs="Times New Roman"/>
        </w:rPr>
        <w:t>investissements de complexe d’i</w:t>
      </w:r>
      <w:r w:rsidRPr="00FB1526">
        <w:rPr>
          <w:rFonts w:ascii="Times New Roman" w:eastAsia="Times New Roman" w:hAnsi="Times New Roman" w:cs="Times New Roman"/>
        </w:rPr>
        <w:t>n</w:t>
      </w:r>
      <w:r w:rsidR="00525D7F">
        <w:rPr>
          <w:rFonts w:ascii="Times New Roman" w:eastAsia="Times New Roman" w:hAnsi="Times New Roman" w:cs="Times New Roman"/>
        </w:rPr>
        <w:t>s</w:t>
      </w:r>
      <w:r w:rsidRPr="00FB1526">
        <w:rPr>
          <w:rFonts w:ascii="Times New Roman" w:eastAsia="Times New Roman" w:hAnsi="Times New Roman" w:cs="Times New Roman"/>
        </w:rPr>
        <w:t xml:space="preserve">titutions. </w:t>
      </w:r>
      <w:r w:rsidR="04DC667E" w:rsidRPr="00FB1526">
        <w:rPr>
          <w:rFonts w:ascii="Times New Roman" w:eastAsia="Times New Roman" w:hAnsi="Times New Roman" w:cs="Times New Roman"/>
        </w:rPr>
        <w:t>Reconnaître l'existence d'un complexe d'institutions</w:t>
      </w:r>
      <w:r w:rsidR="00A52B6B" w:rsidRPr="00FB1526">
        <w:rPr>
          <w:rFonts w:ascii="Times New Roman" w:eastAsia="Times New Roman" w:hAnsi="Times New Roman" w:cs="Times New Roman"/>
        </w:rPr>
        <w:t xml:space="preserve"> </w:t>
      </w:r>
      <w:r w:rsidR="04DC667E" w:rsidRPr="00FB1526">
        <w:rPr>
          <w:rFonts w:ascii="Times New Roman" w:eastAsia="Times New Roman" w:hAnsi="Times New Roman" w:cs="Times New Roman"/>
        </w:rPr>
        <w:t xml:space="preserve">n'a </w:t>
      </w:r>
      <w:r w:rsidR="00FF1155">
        <w:rPr>
          <w:rFonts w:ascii="Times New Roman" w:eastAsia="Times New Roman" w:hAnsi="Times New Roman" w:cs="Times New Roman"/>
        </w:rPr>
        <w:t>cependant</w:t>
      </w:r>
      <w:r w:rsidRPr="00FB1526">
        <w:rPr>
          <w:rFonts w:ascii="Times New Roman" w:eastAsia="Times New Roman" w:hAnsi="Times New Roman" w:cs="Times New Roman"/>
        </w:rPr>
        <w:t xml:space="preserve"> en soi que peu</w:t>
      </w:r>
      <w:r w:rsidR="04DC667E" w:rsidRPr="00FB1526">
        <w:rPr>
          <w:rFonts w:ascii="Times New Roman" w:eastAsia="Times New Roman" w:hAnsi="Times New Roman" w:cs="Times New Roman"/>
        </w:rPr>
        <w:t xml:space="preserve"> </w:t>
      </w:r>
      <w:r w:rsidRPr="00FB1526">
        <w:rPr>
          <w:rFonts w:ascii="Times New Roman" w:eastAsia="Times New Roman" w:hAnsi="Times New Roman" w:cs="Times New Roman"/>
        </w:rPr>
        <w:t>d’</w:t>
      </w:r>
      <w:r w:rsidR="00480CD1" w:rsidRPr="00FB1526">
        <w:rPr>
          <w:rFonts w:ascii="Times New Roman" w:eastAsia="Times New Roman" w:hAnsi="Times New Roman" w:cs="Times New Roman"/>
        </w:rPr>
        <w:t>intérêt</w:t>
      </w:r>
      <w:r w:rsidR="04DC667E" w:rsidRPr="00FB1526">
        <w:rPr>
          <w:rFonts w:ascii="Times New Roman" w:eastAsia="Times New Roman" w:hAnsi="Times New Roman" w:cs="Times New Roman"/>
        </w:rPr>
        <w:t xml:space="preserve">. </w:t>
      </w:r>
      <w:r w:rsidR="002D5CE0" w:rsidRPr="00FB1526">
        <w:rPr>
          <w:rFonts w:ascii="Times New Roman" w:eastAsia="Times New Roman" w:hAnsi="Times New Roman" w:cs="Times New Roman"/>
        </w:rPr>
        <w:t>C’est plutôt l’étude des origines ou des implications de ce complexe qui permet de dégager des réflexions nouvelles</w:t>
      </w:r>
      <w:r w:rsidR="005E44C8">
        <w:rPr>
          <w:rFonts w:ascii="Times New Roman" w:eastAsia="Times New Roman" w:hAnsi="Times New Roman" w:cs="Times New Roman"/>
        </w:rPr>
        <w:t xml:space="preserve"> (Alter et Meunier</w:t>
      </w:r>
      <w:r w:rsidR="00DF1EFB">
        <w:rPr>
          <w:rFonts w:ascii="Times New Roman" w:eastAsia="Times New Roman" w:hAnsi="Times New Roman" w:cs="Times New Roman"/>
        </w:rPr>
        <w:t xml:space="preserve"> 2009 : 14-15)</w:t>
      </w:r>
      <w:r w:rsidR="002D5CE0" w:rsidRPr="00FB1526">
        <w:rPr>
          <w:rFonts w:ascii="Times New Roman" w:eastAsia="Times New Roman" w:hAnsi="Times New Roman" w:cs="Times New Roman"/>
        </w:rPr>
        <w:t>. Dans le premier cas, le chercheur s’intéresse à comprendre comment les agents influencent la struc</w:t>
      </w:r>
      <w:r w:rsidR="00AC4FC7">
        <w:rPr>
          <w:rFonts w:ascii="Times New Roman" w:eastAsia="Times New Roman" w:hAnsi="Times New Roman" w:cs="Times New Roman"/>
        </w:rPr>
        <w:t xml:space="preserve">ture encadrant leurs relations. Dans le deuxième, il </w:t>
      </w:r>
      <w:r w:rsidR="002D5CE0" w:rsidRPr="00FB1526">
        <w:rPr>
          <w:rFonts w:ascii="Times New Roman" w:eastAsia="Times New Roman" w:hAnsi="Times New Roman" w:cs="Times New Roman"/>
        </w:rPr>
        <w:t xml:space="preserve">s'attache à l’inverse à comprendre comment la structure influence les agents. </w:t>
      </w:r>
      <w:r w:rsidR="00560AEC">
        <w:rPr>
          <w:rFonts w:ascii="Times New Roman" w:eastAsia="Times New Roman" w:hAnsi="Times New Roman" w:cs="Times New Roman"/>
        </w:rPr>
        <w:lastRenderedPageBreak/>
        <w:t>Les deux sont bien évidemment pertinent</w:t>
      </w:r>
      <w:r w:rsidR="00DF7B6C">
        <w:rPr>
          <w:rFonts w:ascii="Times New Roman" w:eastAsia="Times New Roman" w:hAnsi="Times New Roman" w:cs="Times New Roman"/>
        </w:rPr>
        <w:t xml:space="preserve">s, mais </w:t>
      </w:r>
      <w:r w:rsidR="00560AEC">
        <w:rPr>
          <w:rFonts w:ascii="Times New Roman" w:eastAsia="Times New Roman" w:hAnsi="Times New Roman" w:cs="Times New Roman"/>
        </w:rPr>
        <w:t>il</w:t>
      </w:r>
      <w:r w:rsidR="00DF7B6C">
        <w:rPr>
          <w:rFonts w:ascii="Times New Roman" w:eastAsia="Times New Roman" w:hAnsi="Times New Roman" w:cs="Times New Roman"/>
        </w:rPr>
        <w:t>s ne visent tout simplement pas les mêmes objectifs.</w:t>
      </w:r>
    </w:p>
    <w:p w14:paraId="2A275D40" w14:textId="7AC39D46" w:rsidR="00FB1526" w:rsidRDefault="00AC4FC7"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L</w:t>
      </w:r>
      <w:r w:rsidR="00A52B6B" w:rsidRPr="00FB1526">
        <w:rPr>
          <w:rFonts w:ascii="Times New Roman" w:eastAsia="Times New Roman" w:hAnsi="Times New Roman" w:cs="Times New Roman"/>
        </w:rPr>
        <w:t>a présente</w:t>
      </w:r>
      <w:r w:rsidR="00DF1EFB">
        <w:rPr>
          <w:rFonts w:ascii="Times New Roman" w:eastAsia="Times New Roman" w:hAnsi="Times New Roman" w:cs="Times New Roman"/>
        </w:rPr>
        <w:t xml:space="preserve"> question de</w:t>
      </w:r>
      <w:r w:rsidR="00A52B6B" w:rsidRPr="00FB1526">
        <w:rPr>
          <w:rFonts w:ascii="Times New Roman" w:eastAsia="Times New Roman" w:hAnsi="Times New Roman" w:cs="Times New Roman"/>
        </w:rPr>
        <w:t xml:space="preserve"> recherche </w:t>
      </w:r>
      <w:r w:rsidR="00DF1EFB">
        <w:rPr>
          <w:rFonts w:ascii="Times New Roman" w:eastAsia="Times New Roman" w:hAnsi="Times New Roman" w:cs="Times New Roman"/>
        </w:rPr>
        <w:t xml:space="preserve">se classe dans </w:t>
      </w:r>
      <w:r w:rsidR="00400DD7">
        <w:rPr>
          <w:rFonts w:ascii="Times New Roman" w:eastAsia="Times New Roman" w:hAnsi="Times New Roman" w:cs="Times New Roman"/>
        </w:rPr>
        <w:t xml:space="preserve">la deuxième catégorie puisque son </w:t>
      </w:r>
      <w:r w:rsidR="00DF1EFB">
        <w:rPr>
          <w:rFonts w:ascii="Times New Roman" w:eastAsia="Times New Roman" w:hAnsi="Times New Roman" w:cs="Times New Roman"/>
        </w:rPr>
        <w:t xml:space="preserve">objectif est d’expliquer comment le complexe d’institutions a influencé le développement du </w:t>
      </w:r>
      <w:r w:rsidR="00FB1526" w:rsidRPr="00FB1526">
        <w:rPr>
          <w:rFonts w:ascii="Times New Roman" w:eastAsia="Times New Roman" w:hAnsi="Times New Roman" w:cs="Times New Roman"/>
        </w:rPr>
        <w:t>modèle de traités bilatéraux d’inves</w:t>
      </w:r>
      <w:r w:rsidR="00400DD7">
        <w:rPr>
          <w:rFonts w:ascii="Times New Roman" w:eastAsia="Times New Roman" w:hAnsi="Times New Roman" w:cs="Times New Roman"/>
        </w:rPr>
        <w:t xml:space="preserve">tissement de l’Union européenne. </w:t>
      </w:r>
      <w:r w:rsidR="00FB1526" w:rsidRPr="00FB1526">
        <w:rPr>
          <w:rFonts w:ascii="Times New Roman" w:eastAsia="Times New Roman" w:hAnsi="Times New Roman" w:cs="Times New Roman"/>
        </w:rPr>
        <w:t>En d’autres mots, le complexe est ici la variable indépendante (exogène) et le modèle de</w:t>
      </w:r>
      <w:r w:rsidR="00DF1EFB">
        <w:rPr>
          <w:rFonts w:ascii="Times New Roman" w:eastAsia="Times New Roman" w:hAnsi="Times New Roman" w:cs="Times New Roman"/>
        </w:rPr>
        <w:t xml:space="preserve"> traités d’investissement de</w:t>
      </w:r>
      <w:r w:rsidR="00FB1526" w:rsidRPr="00FB1526">
        <w:rPr>
          <w:rFonts w:ascii="Times New Roman" w:eastAsia="Times New Roman" w:hAnsi="Times New Roman" w:cs="Times New Roman"/>
        </w:rPr>
        <w:t xml:space="preserve"> l’Union européenne est la variable dépendante (endogène). </w:t>
      </w:r>
      <w:r w:rsidR="00DF7B6C">
        <w:rPr>
          <w:rFonts w:ascii="Times New Roman" w:eastAsia="Times New Roman" w:hAnsi="Times New Roman" w:cs="Times New Roman"/>
        </w:rPr>
        <w:t xml:space="preserve">Ce choix demande </w:t>
      </w:r>
      <w:r w:rsidR="00C2273D">
        <w:rPr>
          <w:rFonts w:ascii="Times New Roman" w:eastAsia="Times New Roman" w:hAnsi="Times New Roman" w:cs="Times New Roman"/>
        </w:rPr>
        <w:t>donc de</w:t>
      </w:r>
      <w:r w:rsidR="00DF7B6C">
        <w:rPr>
          <w:rFonts w:ascii="Times New Roman" w:eastAsia="Times New Roman" w:hAnsi="Times New Roman" w:cs="Times New Roman"/>
        </w:rPr>
        <w:t xml:space="preserve"> distinguer les différentes</w:t>
      </w:r>
      <w:r w:rsidR="00C2273D">
        <w:rPr>
          <w:rFonts w:ascii="Times New Roman" w:eastAsia="Times New Roman" w:hAnsi="Times New Roman" w:cs="Times New Roman"/>
        </w:rPr>
        <w:t xml:space="preserve"> voies à travers lesquelles un com</w:t>
      </w:r>
      <w:r w:rsidR="00BC2846">
        <w:rPr>
          <w:rFonts w:ascii="Times New Roman" w:eastAsia="Times New Roman" w:hAnsi="Times New Roman" w:cs="Times New Roman"/>
        </w:rPr>
        <w:t xml:space="preserve">plexe peut influencer un agent, avant de pouvoir s’attarder à </w:t>
      </w:r>
      <w:r w:rsidR="00FF1155">
        <w:rPr>
          <w:rFonts w:ascii="Times New Roman" w:eastAsia="Times New Roman" w:hAnsi="Times New Roman" w:cs="Times New Roman"/>
        </w:rPr>
        <w:t>analyser les sources d’inspiration et d’apprentissage de la Commission européenne</w:t>
      </w:r>
      <w:r w:rsidR="00BC2846">
        <w:rPr>
          <w:rFonts w:ascii="Times New Roman" w:eastAsia="Times New Roman" w:hAnsi="Times New Roman" w:cs="Times New Roman"/>
        </w:rPr>
        <w:t xml:space="preserve">. </w:t>
      </w:r>
      <w:r w:rsidR="00C2273D">
        <w:rPr>
          <w:rFonts w:ascii="Times New Roman" w:eastAsia="Times New Roman" w:hAnsi="Times New Roman" w:cs="Times New Roman"/>
        </w:rPr>
        <w:t>Dans</w:t>
      </w:r>
      <w:r w:rsidR="00DF7B6C">
        <w:rPr>
          <w:rFonts w:ascii="Times New Roman" w:eastAsia="Times New Roman" w:hAnsi="Times New Roman" w:cs="Times New Roman"/>
        </w:rPr>
        <w:t xml:space="preserve"> </w:t>
      </w:r>
      <w:r w:rsidR="00400DD7">
        <w:rPr>
          <w:rFonts w:ascii="Times New Roman" w:eastAsia="Times New Roman" w:hAnsi="Times New Roman" w:cs="Times New Roman"/>
        </w:rPr>
        <w:t xml:space="preserve">leur article de 2009, Alter et Meunier </w:t>
      </w:r>
      <w:r w:rsidR="00BC2846">
        <w:rPr>
          <w:rFonts w:ascii="Times New Roman" w:eastAsia="Times New Roman" w:hAnsi="Times New Roman" w:cs="Times New Roman"/>
        </w:rPr>
        <w:t xml:space="preserve">en présentent cinq qui sont </w:t>
      </w:r>
      <w:r w:rsidR="00560AEC">
        <w:rPr>
          <w:rFonts w:ascii="Times New Roman" w:eastAsia="Times New Roman" w:hAnsi="Times New Roman" w:cs="Times New Roman"/>
        </w:rPr>
        <w:t xml:space="preserve">ici </w:t>
      </w:r>
      <w:r w:rsidR="00525D7F">
        <w:rPr>
          <w:rFonts w:ascii="Times New Roman" w:eastAsia="Times New Roman" w:hAnsi="Times New Roman" w:cs="Times New Roman"/>
        </w:rPr>
        <w:t>repris et développés</w:t>
      </w:r>
      <w:r w:rsidR="00A624AC">
        <w:rPr>
          <w:rFonts w:ascii="Times New Roman" w:eastAsia="Times New Roman" w:hAnsi="Times New Roman" w:cs="Times New Roman"/>
        </w:rPr>
        <w:t xml:space="preserve"> en lien avec le régime des investissements.</w:t>
      </w:r>
    </w:p>
    <w:p w14:paraId="398B8FC9" w14:textId="2B83B5E7" w:rsidR="00103AFE" w:rsidRPr="006A5780" w:rsidRDefault="00103AFE" w:rsidP="004F762A">
      <w:pPr>
        <w:pStyle w:val="Titre3"/>
        <w:rPr>
          <w:rFonts w:ascii="Times New Roman" w:hAnsi="Times New Roman" w:cs="Times New Roman"/>
          <w:b w:val="0"/>
          <w:i/>
          <w:color w:val="auto"/>
          <w:sz w:val="26"/>
          <w:szCs w:val="26"/>
        </w:rPr>
      </w:pPr>
      <w:bookmarkStart w:id="4" w:name="_Toc313471456"/>
      <w:r w:rsidRPr="006A5780">
        <w:rPr>
          <w:rFonts w:ascii="Times New Roman" w:hAnsi="Times New Roman" w:cs="Times New Roman"/>
          <w:b w:val="0"/>
          <w:i/>
          <w:color w:val="auto"/>
          <w:sz w:val="26"/>
          <w:szCs w:val="26"/>
        </w:rPr>
        <w:t>2.2.1 Un rôle accru pour la mise en œuvre des obligations</w:t>
      </w:r>
      <w:bookmarkEnd w:id="4"/>
    </w:p>
    <w:p w14:paraId="7B921D9D" w14:textId="3ECC99F4" w:rsidR="00E151CF" w:rsidRDefault="00400DD7"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Premièrement,</w:t>
      </w:r>
      <w:r w:rsidR="00BC2846">
        <w:rPr>
          <w:rFonts w:ascii="Times New Roman" w:eastAsia="Times New Roman" w:hAnsi="Times New Roman" w:cs="Times New Roman"/>
        </w:rPr>
        <w:t xml:space="preserve"> au sein d’un complexe</w:t>
      </w:r>
      <w:r w:rsidR="00FF1155">
        <w:rPr>
          <w:rFonts w:ascii="Times New Roman" w:eastAsia="Times New Roman" w:hAnsi="Times New Roman" w:cs="Times New Roman"/>
        </w:rPr>
        <w:t xml:space="preserve"> d’institutions</w:t>
      </w:r>
      <w:r w:rsidR="00BC2846">
        <w:rPr>
          <w:rFonts w:ascii="Times New Roman" w:eastAsia="Times New Roman" w:hAnsi="Times New Roman" w:cs="Times New Roman"/>
        </w:rPr>
        <w:t>,</w:t>
      </w:r>
      <w:r>
        <w:rPr>
          <w:rFonts w:ascii="Times New Roman" w:eastAsia="Times New Roman" w:hAnsi="Times New Roman" w:cs="Times New Roman"/>
        </w:rPr>
        <w:t xml:space="preserve"> </w:t>
      </w:r>
      <w:r w:rsidR="00525D7F">
        <w:rPr>
          <w:rFonts w:ascii="Times New Roman" w:eastAsia="Times New Roman" w:hAnsi="Times New Roman" w:cs="Times New Roman"/>
        </w:rPr>
        <w:t xml:space="preserve">l’étape de mise en œuvre des obligations </w:t>
      </w:r>
      <w:r w:rsidR="00FF1155">
        <w:rPr>
          <w:rFonts w:ascii="Times New Roman" w:eastAsia="Times New Roman" w:hAnsi="Times New Roman" w:cs="Times New Roman"/>
        </w:rPr>
        <w:t>prend un rôle</w:t>
      </w:r>
      <w:r w:rsidR="00525D7F">
        <w:rPr>
          <w:rFonts w:ascii="Times New Roman" w:eastAsia="Times New Roman" w:hAnsi="Times New Roman" w:cs="Times New Roman"/>
        </w:rPr>
        <w:t xml:space="preserve"> particulièrement important</w:t>
      </w:r>
      <w:r w:rsidR="00FF1155">
        <w:rPr>
          <w:rFonts w:ascii="Times New Roman" w:eastAsia="Times New Roman" w:hAnsi="Times New Roman" w:cs="Times New Roman"/>
        </w:rPr>
        <w:t xml:space="preserve"> au détriment de l’étape de négociation</w:t>
      </w:r>
      <w:r w:rsidR="005E44C8">
        <w:rPr>
          <w:rFonts w:ascii="Times New Roman" w:eastAsia="Times New Roman" w:hAnsi="Times New Roman" w:cs="Times New Roman"/>
        </w:rPr>
        <w:t xml:space="preserve"> (Alter et Meunier </w:t>
      </w:r>
      <w:r w:rsidR="00525D7F">
        <w:rPr>
          <w:rFonts w:ascii="Times New Roman" w:eastAsia="Times New Roman" w:hAnsi="Times New Roman" w:cs="Times New Roman"/>
        </w:rPr>
        <w:t xml:space="preserve">2009 : 15-16). </w:t>
      </w:r>
      <w:r w:rsidR="009B56FD">
        <w:rPr>
          <w:rFonts w:ascii="Times New Roman" w:eastAsia="Times New Roman" w:hAnsi="Times New Roman" w:cs="Times New Roman"/>
        </w:rPr>
        <w:t xml:space="preserve">L’existence de plusieurs règles et institutions, </w:t>
      </w:r>
      <w:r w:rsidR="00560AEC">
        <w:rPr>
          <w:rFonts w:ascii="Times New Roman" w:eastAsia="Times New Roman" w:hAnsi="Times New Roman" w:cs="Times New Roman"/>
        </w:rPr>
        <w:t>entretenant une</w:t>
      </w:r>
      <w:r w:rsidR="009B56FD">
        <w:rPr>
          <w:rFonts w:ascii="Times New Roman" w:eastAsia="Times New Roman" w:hAnsi="Times New Roman" w:cs="Times New Roman"/>
        </w:rPr>
        <w:t xml:space="preserve"> r</w:t>
      </w:r>
      <w:r w:rsidR="00FF1155">
        <w:rPr>
          <w:rFonts w:ascii="Times New Roman" w:eastAsia="Times New Roman" w:hAnsi="Times New Roman" w:cs="Times New Roman"/>
        </w:rPr>
        <w:t>elation hiérarchique incertaine, qui se chevauche</w:t>
      </w:r>
      <w:r w:rsidR="009B56FD">
        <w:rPr>
          <w:rFonts w:ascii="Times New Roman" w:eastAsia="Times New Roman" w:hAnsi="Times New Roman" w:cs="Times New Roman"/>
        </w:rPr>
        <w:t xml:space="preserve">nt </w:t>
      </w:r>
      <w:r w:rsidR="00AC30EB">
        <w:rPr>
          <w:rFonts w:ascii="Times New Roman" w:eastAsia="Times New Roman" w:hAnsi="Times New Roman" w:cs="Times New Roman"/>
        </w:rPr>
        <w:t>diminue</w:t>
      </w:r>
      <w:r w:rsidR="009B56FD">
        <w:rPr>
          <w:rFonts w:ascii="Times New Roman" w:eastAsia="Times New Roman" w:hAnsi="Times New Roman" w:cs="Times New Roman"/>
        </w:rPr>
        <w:t xml:space="preserve"> en effet la clarté des obligations et </w:t>
      </w:r>
      <w:proofErr w:type="spellStart"/>
      <w:r w:rsidR="00AC30EB">
        <w:rPr>
          <w:rFonts w:ascii="Times New Roman" w:eastAsia="Times New Roman" w:hAnsi="Times New Roman" w:cs="Times New Roman"/>
        </w:rPr>
        <w:t>accroît</w:t>
      </w:r>
      <w:proofErr w:type="spellEnd"/>
      <w:r w:rsidR="00AC30EB">
        <w:rPr>
          <w:rFonts w:ascii="Times New Roman" w:eastAsia="Times New Roman" w:hAnsi="Times New Roman" w:cs="Times New Roman"/>
        </w:rPr>
        <w:t xml:space="preserve"> l’importance des interprétations adoptées par les décideurs publics, les avocats ou les arbitres </w:t>
      </w:r>
      <w:r w:rsidR="00FF1155">
        <w:rPr>
          <w:rFonts w:ascii="Times New Roman" w:eastAsia="Times New Roman" w:hAnsi="Times New Roman" w:cs="Times New Roman"/>
        </w:rPr>
        <w:t xml:space="preserve">lors de leur mise en œuvre </w:t>
      </w:r>
      <w:r w:rsidR="005E44C8">
        <w:rPr>
          <w:rFonts w:ascii="Times New Roman" w:eastAsia="Times New Roman" w:hAnsi="Times New Roman" w:cs="Times New Roman"/>
        </w:rPr>
        <w:t>(Alter et Meunier</w:t>
      </w:r>
      <w:r w:rsidR="00AC30EB">
        <w:rPr>
          <w:rFonts w:ascii="Times New Roman" w:eastAsia="Times New Roman" w:hAnsi="Times New Roman" w:cs="Times New Roman"/>
        </w:rPr>
        <w:t xml:space="preserve"> 2009 : 16). À ce</w:t>
      </w:r>
      <w:r w:rsidR="00FF1155">
        <w:rPr>
          <w:rFonts w:ascii="Times New Roman" w:eastAsia="Times New Roman" w:hAnsi="Times New Roman" w:cs="Times New Roman"/>
        </w:rPr>
        <w:t xml:space="preserve"> sujet, Hafner-Burton souligne</w:t>
      </w:r>
      <w:r w:rsidR="00AC30EB">
        <w:rPr>
          <w:rFonts w:ascii="Times New Roman" w:eastAsia="Times New Roman" w:hAnsi="Times New Roman" w:cs="Times New Roman"/>
        </w:rPr>
        <w:t xml:space="preserve"> que certains États membres de</w:t>
      </w:r>
      <w:r w:rsidR="00560AEC">
        <w:rPr>
          <w:rFonts w:ascii="Times New Roman" w:eastAsia="Times New Roman" w:hAnsi="Times New Roman" w:cs="Times New Roman"/>
        </w:rPr>
        <w:t xml:space="preserve"> l’Union européenne ont utilisé</w:t>
      </w:r>
      <w:r w:rsidR="00AC30EB">
        <w:rPr>
          <w:rFonts w:ascii="Times New Roman" w:eastAsia="Times New Roman" w:hAnsi="Times New Roman" w:cs="Times New Roman"/>
        </w:rPr>
        <w:t xml:space="preserve"> des décisions rendues par la Cour européenne de Justice</w:t>
      </w:r>
      <w:r w:rsidR="00400766">
        <w:rPr>
          <w:rFonts w:ascii="Times New Roman" w:eastAsia="Times New Roman" w:hAnsi="Times New Roman" w:cs="Times New Roman"/>
        </w:rPr>
        <w:t>,</w:t>
      </w:r>
      <w:r w:rsidR="00AC30EB">
        <w:rPr>
          <w:rFonts w:ascii="Times New Roman" w:eastAsia="Times New Roman" w:hAnsi="Times New Roman" w:cs="Times New Roman"/>
        </w:rPr>
        <w:t xml:space="preserve"> des règles du droit de l’OMC </w:t>
      </w:r>
      <w:r w:rsidR="00400766">
        <w:rPr>
          <w:rFonts w:ascii="Times New Roman" w:eastAsia="Times New Roman" w:hAnsi="Times New Roman" w:cs="Times New Roman"/>
        </w:rPr>
        <w:t>et</w:t>
      </w:r>
      <w:r w:rsidR="00AC30EB">
        <w:rPr>
          <w:rFonts w:ascii="Times New Roman" w:eastAsia="Times New Roman" w:hAnsi="Times New Roman" w:cs="Times New Roman"/>
        </w:rPr>
        <w:t xml:space="preserve"> la Convention de Vienne sur le droit des traités de 1969 afin de ne pas appliquer </w:t>
      </w:r>
      <w:r w:rsidR="00FF1155">
        <w:rPr>
          <w:rFonts w:ascii="Times New Roman" w:eastAsia="Times New Roman" w:hAnsi="Times New Roman" w:cs="Times New Roman"/>
        </w:rPr>
        <w:t>des engagements</w:t>
      </w:r>
      <w:r w:rsidR="00AC30EB">
        <w:rPr>
          <w:rFonts w:ascii="Times New Roman" w:eastAsia="Times New Roman" w:hAnsi="Times New Roman" w:cs="Times New Roman"/>
        </w:rPr>
        <w:t xml:space="preserve"> en matière de droit de la personne</w:t>
      </w:r>
      <w:r w:rsidR="00E151CF" w:rsidRPr="00E151CF">
        <w:rPr>
          <w:rFonts w:ascii="Times New Roman" w:eastAsia="Times New Roman" w:hAnsi="Times New Roman" w:cs="Times New Roman"/>
        </w:rPr>
        <w:t xml:space="preserve"> </w:t>
      </w:r>
      <w:r w:rsidR="00E151CF">
        <w:rPr>
          <w:rFonts w:ascii="Times New Roman" w:eastAsia="Times New Roman" w:hAnsi="Times New Roman" w:cs="Times New Roman"/>
        </w:rPr>
        <w:t>que l’Union européenne</w:t>
      </w:r>
      <w:r w:rsidR="00FF1155">
        <w:rPr>
          <w:rFonts w:ascii="Times New Roman" w:eastAsia="Times New Roman" w:hAnsi="Times New Roman" w:cs="Times New Roman"/>
        </w:rPr>
        <w:t xml:space="preserve"> avait</w:t>
      </w:r>
      <w:r w:rsidR="00AC30EB">
        <w:rPr>
          <w:rFonts w:ascii="Times New Roman" w:eastAsia="Times New Roman" w:hAnsi="Times New Roman" w:cs="Times New Roman"/>
        </w:rPr>
        <w:t xml:space="preserve"> </w:t>
      </w:r>
      <w:r w:rsidR="00E151CF">
        <w:rPr>
          <w:rFonts w:ascii="Times New Roman" w:eastAsia="Times New Roman" w:hAnsi="Times New Roman" w:cs="Times New Roman"/>
        </w:rPr>
        <w:t>inscrit</w:t>
      </w:r>
      <w:r w:rsidR="00560AEC">
        <w:rPr>
          <w:rFonts w:ascii="Times New Roman" w:eastAsia="Times New Roman" w:hAnsi="Times New Roman" w:cs="Times New Roman"/>
        </w:rPr>
        <w:t>s</w:t>
      </w:r>
      <w:r w:rsidR="00E151CF">
        <w:rPr>
          <w:rFonts w:ascii="Times New Roman" w:eastAsia="Times New Roman" w:hAnsi="Times New Roman" w:cs="Times New Roman"/>
        </w:rPr>
        <w:t xml:space="preserve"> </w:t>
      </w:r>
      <w:r w:rsidR="00560AEC">
        <w:rPr>
          <w:rFonts w:ascii="Times New Roman" w:eastAsia="Times New Roman" w:hAnsi="Times New Roman" w:cs="Times New Roman"/>
        </w:rPr>
        <w:t>au sein de s</w:t>
      </w:r>
      <w:r w:rsidR="00AC30EB">
        <w:rPr>
          <w:rFonts w:ascii="Times New Roman" w:eastAsia="Times New Roman" w:hAnsi="Times New Roman" w:cs="Times New Roman"/>
        </w:rPr>
        <w:t xml:space="preserve">es accords commerciaux </w:t>
      </w:r>
      <w:r w:rsidR="00E151CF">
        <w:rPr>
          <w:rFonts w:ascii="Times New Roman" w:eastAsia="Times New Roman" w:hAnsi="Times New Roman" w:cs="Times New Roman"/>
        </w:rPr>
        <w:t xml:space="preserve">(2009 : 36). </w:t>
      </w:r>
    </w:p>
    <w:p w14:paraId="1B949B4F" w14:textId="13E324B9" w:rsidR="00A624AC" w:rsidRPr="00C853BC" w:rsidRDefault="00560AEC"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Dans le cadre</w:t>
      </w:r>
      <w:r w:rsidR="00E151CF">
        <w:rPr>
          <w:rFonts w:ascii="Times New Roman" w:eastAsia="Times New Roman" w:hAnsi="Times New Roman" w:cs="Times New Roman"/>
        </w:rPr>
        <w:t xml:space="preserve"> du régime des investissements, plusieurs exemples démontrent comment l’étape de mise en œuvre </w:t>
      </w:r>
      <w:r>
        <w:rPr>
          <w:rFonts w:ascii="Times New Roman" w:eastAsia="Times New Roman" w:hAnsi="Times New Roman" w:cs="Times New Roman"/>
        </w:rPr>
        <w:t>revêt</w:t>
      </w:r>
      <w:r w:rsidR="00E151CF">
        <w:rPr>
          <w:rFonts w:ascii="Times New Roman" w:eastAsia="Times New Roman" w:hAnsi="Times New Roman" w:cs="Times New Roman"/>
        </w:rPr>
        <w:t xml:space="preserve"> également</w:t>
      </w:r>
      <w:r>
        <w:rPr>
          <w:rFonts w:ascii="Times New Roman" w:eastAsia="Times New Roman" w:hAnsi="Times New Roman" w:cs="Times New Roman"/>
        </w:rPr>
        <w:t xml:space="preserve"> une importance particulière</w:t>
      </w:r>
      <w:r w:rsidR="00E151CF">
        <w:rPr>
          <w:rFonts w:ascii="Times New Roman" w:eastAsia="Times New Roman" w:hAnsi="Times New Roman" w:cs="Times New Roman"/>
        </w:rPr>
        <w:t>. D’une part, l’</w:t>
      </w:r>
      <w:proofErr w:type="spellStart"/>
      <w:r w:rsidR="00E151CF">
        <w:rPr>
          <w:rFonts w:ascii="Times New Roman" w:eastAsia="Times New Roman" w:hAnsi="Times New Roman" w:cs="Times New Roman"/>
        </w:rPr>
        <w:t>ambiguïté</w:t>
      </w:r>
      <w:proofErr w:type="spellEnd"/>
      <w:r w:rsidR="00E151CF">
        <w:rPr>
          <w:rFonts w:ascii="Times New Roman" w:eastAsia="Times New Roman" w:hAnsi="Times New Roman" w:cs="Times New Roman"/>
        </w:rPr>
        <w:t xml:space="preserve"> de plusieurs règles qui se retrouvent formulées de diverses manières </w:t>
      </w:r>
      <w:r>
        <w:rPr>
          <w:rFonts w:ascii="Times New Roman" w:eastAsia="Times New Roman" w:hAnsi="Times New Roman" w:cs="Times New Roman"/>
        </w:rPr>
        <w:t>dans les</w:t>
      </w:r>
      <w:r w:rsidR="00E151CF">
        <w:rPr>
          <w:rFonts w:ascii="Times New Roman" w:eastAsia="Times New Roman" w:hAnsi="Times New Roman" w:cs="Times New Roman"/>
        </w:rPr>
        <w:t xml:space="preserve"> traités, parfois signés par un m</w:t>
      </w:r>
      <w:r w:rsidR="003B53D2">
        <w:rPr>
          <w:rFonts w:ascii="Times New Roman" w:eastAsia="Times New Roman" w:hAnsi="Times New Roman" w:cs="Times New Roman"/>
        </w:rPr>
        <w:t xml:space="preserve">ême État, et leur interprétation </w:t>
      </w:r>
      <w:r w:rsidR="00E151CF">
        <w:rPr>
          <w:rFonts w:ascii="Times New Roman" w:eastAsia="Times New Roman" w:hAnsi="Times New Roman" w:cs="Times New Roman"/>
        </w:rPr>
        <w:t xml:space="preserve">par différents tribunaux arbitraux </w:t>
      </w:r>
      <w:r w:rsidR="003B53D2">
        <w:rPr>
          <w:rFonts w:ascii="Times New Roman" w:eastAsia="Times New Roman" w:hAnsi="Times New Roman" w:cs="Times New Roman"/>
        </w:rPr>
        <w:t xml:space="preserve">a, à plusieurs reprises, mené à des applications divergentes de celles-ci. Les cas </w:t>
      </w:r>
      <w:r w:rsidR="003B53D2" w:rsidRPr="003B53D2">
        <w:rPr>
          <w:rFonts w:ascii="Times New Roman" w:eastAsia="Times New Roman" w:hAnsi="Times New Roman" w:cs="Times New Roman"/>
          <w:i/>
        </w:rPr>
        <w:t>SGS c. Pakistan</w:t>
      </w:r>
      <w:r w:rsidR="003B53D2">
        <w:rPr>
          <w:rFonts w:ascii="Times New Roman" w:eastAsia="Times New Roman" w:hAnsi="Times New Roman" w:cs="Times New Roman"/>
        </w:rPr>
        <w:t xml:space="preserve"> et </w:t>
      </w:r>
      <w:r w:rsidR="003B53D2" w:rsidRPr="003B53D2">
        <w:rPr>
          <w:rFonts w:ascii="Times New Roman" w:eastAsia="Times New Roman" w:hAnsi="Times New Roman" w:cs="Times New Roman"/>
          <w:i/>
        </w:rPr>
        <w:t>SGS c. Philippines</w:t>
      </w:r>
      <w:r w:rsidR="003B53D2">
        <w:rPr>
          <w:rFonts w:ascii="Times New Roman" w:eastAsia="Times New Roman" w:hAnsi="Times New Roman" w:cs="Times New Roman"/>
        </w:rPr>
        <w:t xml:space="preserve"> ont ainsi </w:t>
      </w:r>
      <w:r>
        <w:rPr>
          <w:rFonts w:ascii="Times New Roman" w:eastAsia="Times New Roman" w:hAnsi="Times New Roman" w:cs="Times New Roman"/>
        </w:rPr>
        <w:t>conduit</w:t>
      </w:r>
      <w:r w:rsidR="003B53D2">
        <w:rPr>
          <w:rFonts w:ascii="Times New Roman" w:eastAsia="Times New Roman" w:hAnsi="Times New Roman" w:cs="Times New Roman"/>
        </w:rPr>
        <w:t xml:space="preserve"> à des interprétations discordantes des clauses parapluies</w:t>
      </w:r>
      <w:r w:rsidR="009332EA">
        <w:rPr>
          <w:rFonts w:ascii="Times New Roman" w:eastAsia="Times New Roman" w:hAnsi="Times New Roman" w:cs="Times New Roman"/>
        </w:rPr>
        <w:t xml:space="preserve"> et </w:t>
      </w:r>
      <w:r w:rsidR="003B53D2" w:rsidRPr="003B53D2">
        <w:rPr>
          <w:rFonts w:ascii="Times New Roman" w:eastAsia="Times New Roman" w:hAnsi="Times New Roman" w:cs="Times New Roman"/>
        </w:rPr>
        <w:t>les</w:t>
      </w:r>
      <w:r w:rsidR="003B53D2">
        <w:rPr>
          <w:rFonts w:ascii="Times New Roman" w:eastAsia="Times New Roman" w:hAnsi="Times New Roman" w:cs="Times New Roman"/>
        </w:rPr>
        <w:t xml:space="preserve"> tribunaux dans les affaires</w:t>
      </w:r>
      <w:r w:rsidR="003B53D2" w:rsidRPr="003B53D2">
        <w:rPr>
          <w:rFonts w:ascii="Times New Roman" w:eastAsia="Times New Roman" w:hAnsi="Times New Roman" w:cs="Times New Roman"/>
        </w:rPr>
        <w:t xml:space="preserve"> </w:t>
      </w:r>
      <w:r w:rsidR="003B53D2" w:rsidRPr="009332EA">
        <w:rPr>
          <w:rFonts w:ascii="Times New Roman" w:eastAsia="Times New Roman" w:hAnsi="Times New Roman" w:cs="Times New Roman"/>
          <w:i/>
        </w:rPr>
        <w:t>LG&amp;E c. Argentine</w:t>
      </w:r>
      <w:r w:rsidR="003B53D2" w:rsidRPr="003B53D2">
        <w:rPr>
          <w:rFonts w:ascii="Times New Roman" w:eastAsia="Times New Roman" w:hAnsi="Times New Roman" w:cs="Times New Roman"/>
        </w:rPr>
        <w:t xml:space="preserve"> et </w:t>
      </w:r>
      <w:r w:rsidR="003B53D2" w:rsidRPr="009332EA">
        <w:rPr>
          <w:rFonts w:ascii="Times New Roman" w:eastAsia="Times New Roman" w:hAnsi="Times New Roman" w:cs="Times New Roman"/>
          <w:i/>
        </w:rPr>
        <w:t xml:space="preserve">CMS c. Argentine </w:t>
      </w:r>
      <w:r w:rsidR="009332EA">
        <w:rPr>
          <w:rFonts w:ascii="Times New Roman" w:eastAsia="Times New Roman" w:hAnsi="Times New Roman" w:cs="Times New Roman"/>
        </w:rPr>
        <w:t xml:space="preserve">n’ont pas interprété de la même manière la défense d’état de nécessité soutenue par l’Argentine. D’autre part, les États </w:t>
      </w:r>
      <w:r>
        <w:rPr>
          <w:rFonts w:ascii="Times New Roman" w:eastAsia="Times New Roman" w:hAnsi="Times New Roman" w:cs="Times New Roman"/>
        </w:rPr>
        <w:t>peuvent</w:t>
      </w:r>
      <w:r w:rsidR="009332EA">
        <w:rPr>
          <w:rFonts w:ascii="Times New Roman" w:eastAsia="Times New Roman" w:hAnsi="Times New Roman" w:cs="Times New Roman"/>
        </w:rPr>
        <w:t xml:space="preserve"> également</w:t>
      </w:r>
      <w:r>
        <w:rPr>
          <w:rFonts w:ascii="Times New Roman" w:eastAsia="Times New Roman" w:hAnsi="Times New Roman" w:cs="Times New Roman"/>
        </w:rPr>
        <w:t xml:space="preserve"> jouer un </w:t>
      </w:r>
      <w:r>
        <w:rPr>
          <w:rFonts w:ascii="Times New Roman" w:eastAsia="Times New Roman" w:hAnsi="Times New Roman" w:cs="Times New Roman"/>
        </w:rPr>
        <w:lastRenderedPageBreak/>
        <w:t>rôle</w:t>
      </w:r>
      <w:r w:rsidR="009332EA">
        <w:rPr>
          <w:rFonts w:ascii="Times New Roman" w:eastAsia="Times New Roman" w:hAnsi="Times New Roman" w:cs="Times New Roman"/>
        </w:rPr>
        <w:t xml:space="preserve"> à l’étape de mise en œuvre en proposant et </w:t>
      </w:r>
      <w:r w:rsidR="00FF1155">
        <w:rPr>
          <w:rFonts w:ascii="Times New Roman" w:eastAsia="Times New Roman" w:hAnsi="Times New Roman" w:cs="Times New Roman"/>
        </w:rPr>
        <w:t>en adoptant des interprétations à</w:t>
      </w:r>
      <w:r w:rsidR="009332EA">
        <w:rPr>
          <w:rFonts w:ascii="Times New Roman" w:eastAsia="Times New Roman" w:hAnsi="Times New Roman" w:cs="Times New Roman"/>
        </w:rPr>
        <w:t xml:space="preserve"> leurs obligations. C’est notamment ce qu’ont fait le Canada, les États-Unis et le Mexique en adoptant une note interprétative à l’article 1105 de l’ALENA en 2001 </w:t>
      </w:r>
      <w:r w:rsidR="00CD0EF9">
        <w:rPr>
          <w:rFonts w:ascii="Times New Roman" w:eastAsia="Times New Roman" w:hAnsi="Times New Roman" w:cs="Times New Roman"/>
        </w:rPr>
        <w:t>suite aux</w:t>
      </w:r>
      <w:r w:rsidR="009332EA">
        <w:rPr>
          <w:rFonts w:ascii="Times New Roman" w:eastAsia="Times New Roman" w:hAnsi="Times New Roman" w:cs="Times New Roman"/>
        </w:rPr>
        <w:t xml:space="preserve"> décisions </w:t>
      </w:r>
      <w:r w:rsidR="00C853BC">
        <w:rPr>
          <w:rFonts w:ascii="Times New Roman" w:eastAsia="Times New Roman" w:hAnsi="Times New Roman" w:cs="Times New Roman"/>
        </w:rPr>
        <w:t xml:space="preserve">en lien avec le traitement juste et équitable </w:t>
      </w:r>
      <w:r w:rsidR="00CD0EF9">
        <w:rPr>
          <w:rFonts w:ascii="Times New Roman" w:eastAsia="Times New Roman" w:hAnsi="Times New Roman" w:cs="Times New Roman"/>
        </w:rPr>
        <w:t>dans les affaires</w:t>
      </w:r>
      <w:r w:rsidR="00C853BC" w:rsidRPr="00C853BC">
        <w:rPr>
          <w:rFonts w:ascii="Times New Roman" w:eastAsia="Times New Roman" w:hAnsi="Times New Roman" w:cs="Times New Roman"/>
        </w:rPr>
        <w:t> </w:t>
      </w:r>
      <w:r w:rsidR="00C853BC" w:rsidRPr="00C853BC">
        <w:rPr>
          <w:rFonts w:ascii="Times New Roman" w:eastAsia="Times New Roman" w:hAnsi="Times New Roman" w:cs="Times New Roman"/>
          <w:i/>
        </w:rPr>
        <w:t>Pope &amp; Talbot</w:t>
      </w:r>
      <w:r w:rsidR="00CD0EF9">
        <w:rPr>
          <w:rFonts w:ascii="Times New Roman" w:eastAsia="Times New Roman" w:hAnsi="Times New Roman" w:cs="Times New Roman"/>
          <w:i/>
        </w:rPr>
        <w:t xml:space="preserve"> c. Canada, SD Myers c. Canada </w:t>
      </w:r>
      <w:r w:rsidR="00CD0EF9">
        <w:rPr>
          <w:rFonts w:ascii="Times New Roman" w:eastAsia="Times New Roman" w:hAnsi="Times New Roman" w:cs="Times New Roman"/>
        </w:rPr>
        <w:t xml:space="preserve">et </w:t>
      </w:r>
      <w:proofErr w:type="spellStart"/>
      <w:r w:rsidR="00C853BC" w:rsidRPr="00C853BC">
        <w:rPr>
          <w:rFonts w:ascii="Times New Roman" w:eastAsia="Times New Roman" w:hAnsi="Times New Roman" w:cs="Times New Roman"/>
          <w:i/>
        </w:rPr>
        <w:t>Metalclad</w:t>
      </w:r>
      <w:proofErr w:type="spellEnd"/>
      <w:r w:rsidR="00C853BC" w:rsidRPr="00C853BC">
        <w:rPr>
          <w:rFonts w:ascii="Times New Roman" w:eastAsia="Times New Roman" w:hAnsi="Times New Roman" w:cs="Times New Roman"/>
          <w:i/>
        </w:rPr>
        <w:t xml:space="preserve"> </w:t>
      </w:r>
      <w:r w:rsidR="00C853BC">
        <w:rPr>
          <w:rFonts w:ascii="Times New Roman" w:eastAsia="Times New Roman" w:hAnsi="Times New Roman" w:cs="Times New Roman"/>
          <w:i/>
        </w:rPr>
        <w:t xml:space="preserve">Co </w:t>
      </w:r>
      <w:r w:rsidR="00C853BC" w:rsidRPr="00C853BC">
        <w:rPr>
          <w:rFonts w:ascii="Times New Roman" w:eastAsia="Times New Roman" w:hAnsi="Times New Roman" w:cs="Times New Roman"/>
          <w:i/>
        </w:rPr>
        <w:t xml:space="preserve">c. </w:t>
      </w:r>
      <w:r w:rsidR="00CD0EF9">
        <w:rPr>
          <w:rFonts w:ascii="Times New Roman" w:eastAsia="Times New Roman" w:hAnsi="Times New Roman" w:cs="Times New Roman"/>
          <w:i/>
        </w:rPr>
        <w:t>Mexique</w:t>
      </w:r>
      <w:r w:rsidR="009F56CD">
        <w:rPr>
          <w:rFonts w:ascii="Times New Roman" w:eastAsia="Times New Roman" w:hAnsi="Times New Roman" w:cs="Times New Roman"/>
        </w:rPr>
        <w:t xml:space="preserve"> (</w:t>
      </w:r>
      <w:proofErr w:type="spellStart"/>
      <w:r w:rsidR="009F56CD">
        <w:rPr>
          <w:rFonts w:ascii="Times New Roman" w:eastAsia="Times New Roman" w:hAnsi="Times New Roman" w:cs="Times New Roman"/>
        </w:rPr>
        <w:t>Dum</w:t>
      </w:r>
      <w:r w:rsidR="00050929">
        <w:rPr>
          <w:rFonts w:ascii="Times New Roman" w:eastAsia="Times New Roman" w:hAnsi="Times New Roman" w:cs="Times New Roman"/>
        </w:rPr>
        <w:t>berry</w:t>
      </w:r>
      <w:proofErr w:type="spellEnd"/>
      <w:r w:rsidR="00CD0EF9">
        <w:rPr>
          <w:rFonts w:ascii="Times New Roman" w:eastAsia="Times New Roman" w:hAnsi="Times New Roman" w:cs="Times New Roman"/>
        </w:rPr>
        <w:t xml:space="preserve"> 2013 : 6).</w:t>
      </w:r>
      <w:r w:rsidR="00C853BC" w:rsidRPr="00C853BC">
        <w:rPr>
          <w:rFonts w:ascii="Times New Roman" w:eastAsia="Times New Roman" w:hAnsi="Times New Roman" w:cs="Times New Roman"/>
        </w:rPr>
        <w:t xml:space="preserve"> </w:t>
      </w:r>
    </w:p>
    <w:p w14:paraId="76E62AE4" w14:textId="1A59D180" w:rsidR="00103AFE" w:rsidRPr="006A5780" w:rsidRDefault="00103AFE" w:rsidP="004F762A">
      <w:pPr>
        <w:pStyle w:val="Titre3"/>
        <w:rPr>
          <w:rFonts w:ascii="Times New Roman" w:hAnsi="Times New Roman" w:cs="Times New Roman"/>
          <w:b w:val="0"/>
          <w:i/>
          <w:color w:val="auto"/>
          <w:sz w:val="26"/>
          <w:szCs w:val="26"/>
        </w:rPr>
      </w:pPr>
      <w:bookmarkStart w:id="5" w:name="_Toc313471457"/>
      <w:r w:rsidRPr="006A5780">
        <w:rPr>
          <w:rFonts w:ascii="Times New Roman" w:hAnsi="Times New Roman" w:cs="Times New Roman"/>
          <w:b w:val="0"/>
          <w:i/>
          <w:color w:val="auto"/>
          <w:sz w:val="26"/>
          <w:szCs w:val="26"/>
        </w:rPr>
        <w:t>2.2.2 La présence de stratégies interinstitutionnelles</w:t>
      </w:r>
      <w:bookmarkEnd w:id="5"/>
    </w:p>
    <w:p w14:paraId="4D434774" w14:textId="69FB44A3" w:rsidR="00B6716D" w:rsidRDefault="0028485D" w:rsidP="00BA43F7">
      <w:pPr>
        <w:spacing w:before="120" w:after="120" w:line="360" w:lineRule="auto"/>
        <w:jc w:val="both"/>
        <w:rPr>
          <w:rFonts w:ascii="Times New Roman" w:hAnsi="Times New Roman" w:cs="Times New Roman"/>
          <w:szCs w:val="26"/>
        </w:rPr>
      </w:pPr>
      <w:r w:rsidRPr="1F6905BC">
        <w:rPr>
          <w:rFonts w:ascii="Times New Roman" w:eastAsia="Times New Roman" w:hAnsi="Times New Roman" w:cs="Times New Roman"/>
        </w:rPr>
        <w:t xml:space="preserve">Deuxièmement, </w:t>
      </w:r>
      <w:r w:rsidR="00EF1F8A" w:rsidRPr="1F6905BC">
        <w:rPr>
          <w:rFonts w:ascii="Times New Roman" w:eastAsia="Times New Roman" w:hAnsi="Times New Roman" w:cs="Times New Roman"/>
        </w:rPr>
        <w:t>un complexe permet aux</w:t>
      </w:r>
      <w:r w:rsidR="006105F2" w:rsidRPr="1F6905BC">
        <w:rPr>
          <w:rFonts w:ascii="Times New Roman" w:eastAsia="Times New Roman" w:hAnsi="Times New Roman" w:cs="Times New Roman"/>
        </w:rPr>
        <w:t xml:space="preserve"> acteurs d’adopter des stratégies interinstitutionnelles (</w:t>
      </w:r>
      <w:r w:rsidR="006105F2" w:rsidRPr="04DC667E">
        <w:rPr>
          <w:rFonts w:ascii="Times New Roman" w:eastAsia="Times New Roman" w:hAnsi="Times New Roman" w:cs="Times New Roman"/>
          <w:i/>
          <w:iCs/>
        </w:rPr>
        <w:t>cross-</w:t>
      </w:r>
      <w:proofErr w:type="spellStart"/>
      <w:r w:rsidR="006105F2" w:rsidRPr="04DC667E">
        <w:rPr>
          <w:rFonts w:ascii="Times New Roman" w:eastAsia="Times New Roman" w:hAnsi="Times New Roman" w:cs="Times New Roman"/>
          <w:i/>
          <w:iCs/>
        </w:rPr>
        <w:t>institutional</w:t>
      </w:r>
      <w:proofErr w:type="spellEnd"/>
      <w:r w:rsidR="006105F2" w:rsidRPr="04DC667E">
        <w:rPr>
          <w:rFonts w:ascii="Times New Roman" w:eastAsia="Times New Roman" w:hAnsi="Times New Roman" w:cs="Times New Roman"/>
          <w:i/>
          <w:iCs/>
        </w:rPr>
        <w:t xml:space="preserve"> </w:t>
      </w:r>
      <w:proofErr w:type="spellStart"/>
      <w:r w:rsidR="006105F2" w:rsidRPr="04DC667E">
        <w:rPr>
          <w:rFonts w:ascii="Times New Roman" w:eastAsia="Times New Roman" w:hAnsi="Times New Roman" w:cs="Times New Roman"/>
          <w:i/>
          <w:iCs/>
        </w:rPr>
        <w:t>strategies</w:t>
      </w:r>
      <w:proofErr w:type="spellEnd"/>
      <w:r w:rsidR="006105F2" w:rsidRPr="04DC667E">
        <w:rPr>
          <w:rFonts w:ascii="Times New Roman" w:eastAsia="Times New Roman" w:hAnsi="Times New Roman" w:cs="Times New Roman"/>
          <w:i/>
          <w:iCs/>
        </w:rPr>
        <w:t>)</w:t>
      </w:r>
      <w:r w:rsidR="006105F2" w:rsidRPr="1F6905BC">
        <w:rPr>
          <w:rFonts w:ascii="Times New Roman" w:eastAsia="Times New Roman" w:hAnsi="Times New Roman" w:cs="Times New Roman"/>
        </w:rPr>
        <w:t>. Alter et Meunier regroupent plus particulièremen</w:t>
      </w:r>
      <w:r w:rsidR="006A403D">
        <w:rPr>
          <w:rFonts w:ascii="Times New Roman" w:eastAsia="Times New Roman" w:hAnsi="Times New Roman" w:cs="Times New Roman"/>
        </w:rPr>
        <w:t>t ces stratégies en quatre</w:t>
      </w:r>
      <w:r w:rsidR="00400766">
        <w:rPr>
          <w:rFonts w:ascii="Times New Roman" w:eastAsia="Times New Roman" w:hAnsi="Times New Roman" w:cs="Times New Roman"/>
        </w:rPr>
        <w:t xml:space="preserve"> catégories</w:t>
      </w:r>
      <w:r w:rsidR="006105F2" w:rsidRPr="1F6905BC">
        <w:rPr>
          <w:rFonts w:ascii="Times New Roman" w:eastAsia="Times New Roman" w:hAnsi="Times New Roman" w:cs="Times New Roman"/>
        </w:rPr>
        <w:t xml:space="preserve">. La première, et la plus connue, est celle du forum </w:t>
      </w:r>
      <w:proofErr w:type="spellStart"/>
      <w:r w:rsidR="006105F2" w:rsidRPr="1F6905BC">
        <w:rPr>
          <w:rFonts w:ascii="Times New Roman" w:eastAsia="Times New Roman" w:hAnsi="Times New Roman" w:cs="Times New Roman"/>
        </w:rPr>
        <w:t>shopping</w:t>
      </w:r>
      <w:proofErr w:type="spellEnd"/>
      <w:r w:rsidR="006105F2" w:rsidRPr="1F6905BC">
        <w:rPr>
          <w:rFonts w:ascii="Times New Roman" w:eastAsia="Times New Roman" w:hAnsi="Times New Roman" w:cs="Times New Roman"/>
        </w:rPr>
        <w:t xml:space="preserve"> </w:t>
      </w:r>
      <w:r w:rsidR="00223C00">
        <w:rPr>
          <w:rFonts w:ascii="Times New Roman" w:eastAsia="Times New Roman" w:hAnsi="Times New Roman" w:cs="Times New Roman"/>
        </w:rPr>
        <w:t>(Alter et Meunier</w:t>
      </w:r>
      <w:r w:rsidR="04DC667E" w:rsidRPr="04DC667E">
        <w:rPr>
          <w:rFonts w:ascii="Times New Roman" w:eastAsia="Times New Roman" w:hAnsi="Times New Roman" w:cs="Times New Roman"/>
        </w:rPr>
        <w:t xml:space="preserve"> 2009 : 16)</w:t>
      </w:r>
      <w:r w:rsidR="006105F2" w:rsidRPr="1F6905BC">
        <w:rPr>
          <w:rFonts w:ascii="Times New Roman" w:eastAsia="Times New Roman" w:hAnsi="Times New Roman" w:cs="Times New Roman"/>
        </w:rPr>
        <w:t>. L’existence d</w:t>
      </w:r>
      <w:r w:rsidR="00E03CBD">
        <w:rPr>
          <w:rFonts w:ascii="Times New Roman" w:eastAsia="Times New Roman" w:hAnsi="Times New Roman" w:cs="Times New Roman"/>
        </w:rPr>
        <w:t>e plusieurs institutions offre</w:t>
      </w:r>
      <w:r w:rsidR="006105F2" w:rsidRPr="1F6905BC">
        <w:rPr>
          <w:rFonts w:ascii="Times New Roman" w:eastAsia="Times New Roman" w:hAnsi="Times New Roman" w:cs="Times New Roman"/>
        </w:rPr>
        <w:t xml:space="preserve"> en effet l'opportunité</w:t>
      </w:r>
      <w:r w:rsidR="003C5525" w:rsidRPr="1F6905BC">
        <w:rPr>
          <w:rFonts w:ascii="Times New Roman" w:eastAsia="Times New Roman" w:hAnsi="Times New Roman" w:cs="Times New Roman"/>
        </w:rPr>
        <w:t xml:space="preserve"> aux différents acteurs d'un système de déplacer leurs actions entre</w:t>
      </w:r>
      <w:r w:rsidR="00560AEC">
        <w:rPr>
          <w:rFonts w:ascii="Times New Roman" w:eastAsia="Times New Roman" w:hAnsi="Times New Roman" w:cs="Times New Roman"/>
        </w:rPr>
        <w:t xml:space="preserve"> les différents forums qui leur</w:t>
      </w:r>
      <w:r w:rsidR="00223C00">
        <w:rPr>
          <w:rFonts w:ascii="Times New Roman" w:eastAsia="Times New Roman" w:hAnsi="Times New Roman" w:cs="Times New Roman"/>
        </w:rPr>
        <w:t xml:space="preserve"> sont offerts (</w:t>
      </w:r>
      <w:proofErr w:type="spellStart"/>
      <w:r w:rsidR="00223C00">
        <w:rPr>
          <w:rFonts w:ascii="Times New Roman" w:eastAsia="Times New Roman" w:hAnsi="Times New Roman" w:cs="Times New Roman"/>
        </w:rPr>
        <w:t>Busch</w:t>
      </w:r>
      <w:proofErr w:type="spellEnd"/>
      <w:r w:rsidR="003C5525" w:rsidRPr="1F6905BC">
        <w:rPr>
          <w:rFonts w:ascii="Times New Roman" w:eastAsia="Times New Roman" w:hAnsi="Times New Roman" w:cs="Times New Roman"/>
        </w:rPr>
        <w:t xml:space="preserve"> 2007). Dans le cas du régime des investissements,</w:t>
      </w:r>
      <w:r w:rsidR="04DC667E" w:rsidRPr="04DC667E">
        <w:rPr>
          <w:rFonts w:ascii="Times New Roman" w:eastAsia="Times New Roman" w:hAnsi="Times New Roman" w:cs="Times New Roman"/>
        </w:rPr>
        <w:t xml:space="preserve"> les investisseurs ont généralement le choix entre plusieurs forums pour poursuivre un État et peuvent aisément </w:t>
      </w:r>
      <w:r w:rsidR="00C853BC">
        <w:rPr>
          <w:rFonts w:ascii="Times New Roman" w:eastAsia="Times New Roman" w:hAnsi="Times New Roman" w:cs="Times New Roman"/>
        </w:rPr>
        <w:t>choisir celui qui leur convient le mieux</w:t>
      </w:r>
      <w:r w:rsidR="04DC667E" w:rsidRPr="04DC667E">
        <w:rPr>
          <w:rFonts w:ascii="Times New Roman" w:eastAsia="Times New Roman" w:hAnsi="Times New Roman" w:cs="Times New Roman"/>
        </w:rPr>
        <w:t xml:space="preserve"> (</w:t>
      </w:r>
      <w:proofErr w:type="spellStart"/>
      <w:r w:rsidR="04DC667E" w:rsidRPr="04DC667E">
        <w:rPr>
          <w:rFonts w:ascii="Times New Roman" w:eastAsia="Times New Roman" w:hAnsi="Times New Roman" w:cs="Times New Roman"/>
        </w:rPr>
        <w:t>Peinhardt</w:t>
      </w:r>
      <w:proofErr w:type="spellEnd"/>
      <w:r w:rsidR="04DC667E" w:rsidRPr="04DC667E">
        <w:rPr>
          <w:rFonts w:ascii="Times New Roman" w:eastAsia="Times New Roman" w:hAnsi="Times New Roman" w:cs="Times New Roman"/>
        </w:rPr>
        <w:t xml:space="preserve"> </w:t>
      </w:r>
      <w:r w:rsidR="00223C00">
        <w:rPr>
          <w:rFonts w:ascii="Times New Roman" w:eastAsia="Times New Roman" w:hAnsi="Times New Roman" w:cs="Times New Roman"/>
        </w:rPr>
        <w:t xml:space="preserve">et </w:t>
      </w:r>
      <w:proofErr w:type="spellStart"/>
      <w:r w:rsidR="00223C00">
        <w:rPr>
          <w:rFonts w:ascii="Times New Roman" w:eastAsia="Times New Roman" w:hAnsi="Times New Roman" w:cs="Times New Roman"/>
        </w:rPr>
        <w:t>Allee</w:t>
      </w:r>
      <w:proofErr w:type="spellEnd"/>
      <w:r w:rsidR="00C853BC">
        <w:rPr>
          <w:rFonts w:ascii="Times New Roman" w:eastAsia="Times New Roman" w:hAnsi="Times New Roman" w:cs="Times New Roman"/>
        </w:rPr>
        <w:t xml:space="preserve"> 2010)</w:t>
      </w:r>
      <w:r w:rsidR="04DC667E" w:rsidRPr="04DC667E">
        <w:rPr>
          <w:rFonts w:ascii="Times New Roman" w:eastAsia="Times New Roman" w:hAnsi="Times New Roman" w:cs="Times New Roman"/>
        </w:rPr>
        <w:t>. Les États peuvent</w:t>
      </w:r>
      <w:r w:rsidR="00790B4E">
        <w:rPr>
          <w:rFonts w:ascii="Times New Roman" w:eastAsia="Times New Roman" w:hAnsi="Times New Roman" w:cs="Times New Roman"/>
        </w:rPr>
        <w:t xml:space="preserve"> eux aussi décider de travailler au sein d’</w:t>
      </w:r>
      <w:r w:rsidR="00FC63DE">
        <w:rPr>
          <w:rFonts w:ascii="Times New Roman" w:eastAsia="Times New Roman" w:hAnsi="Times New Roman" w:cs="Times New Roman"/>
        </w:rPr>
        <w:t xml:space="preserve">une institution  au profit d’une autre afin d’en influencer les travaux. La Commission européenne a ainsi activement participé à l’élaboration du </w:t>
      </w:r>
      <w:r w:rsidR="00FC63DE" w:rsidRPr="00FC63DE">
        <w:rPr>
          <w:rFonts w:ascii="Times New Roman" w:eastAsia="Times New Roman" w:hAnsi="Times New Roman" w:cs="Times New Roman"/>
        </w:rPr>
        <w:t>Règlement de la CNUDCI sur la transparence dans l'arbitrage entre investisseurs et États fondé sur des traités</w:t>
      </w:r>
      <w:r w:rsidR="00D53071">
        <w:rPr>
          <w:rFonts w:ascii="Times New Roman" w:eastAsia="Times New Roman" w:hAnsi="Times New Roman" w:cs="Times New Roman"/>
        </w:rPr>
        <w:t xml:space="preserve"> (Brown et </w:t>
      </w:r>
      <w:proofErr w:type="spellStart"/>
      <w:r w:rsidR="00D53071">
        <w:rPr>
          <w:rFonts w:ascii="Times New Roman" w:eastAsia="Times New Roman" w:hAnsi="Times New Roman" w:cs="Times New Roman"/>
        </w:rPr>
        <w:t>Naglis</w:t>
      </w:r>
      <w:proofErr w:type="spellEnd"/>
      <w:r w:rsidR="00FC63DE">
        <w:rPr>
          <w:rFonts w:ascii="Times New Roman" w:eastAsia="Times New Roman" w:hAnsi="Times New Roman" w:cs="Times New Roman"/>
        </w:rPr>
        <w:t xml:space="preserve"> 2012 : 28-29). </w:t>
      </w:r>
      <w:r w:rsidR="00FC63DE" w:rsidRPr="00FC63DE">
        <w:rPr>
          <w:rFonts w:ascii="Times New Roman" w:eastAsia="Times New Roman" w:hAnsi="Times New Roman" w:cs="Times New Roman"/>
        </w:rPr>
        <w:t xml:space="preserve"> </w:t>
      </w:r>
      <w:r w:rsidR="00B6716D" w:rsidRPr="1F6905BC">
        <w:rPr>
          <w:rFonts w:ascii="Times New Roman" w:eastAsia="Times New Roman" w:hAnsi="Times New Roman" w:cs="Times New Roman"/>
        </w:rPr>
        <w:t>La deuxième stra</w:t>
      </w:r>
      <w:r w:rsidR="00D53071">
        <w:rPr>
          <w:rFonts w:ascii="Times New Roman" w:eastAsia="Times New Roman" w:hAnsi="Times New Roman" w:cs="Times New Roman"/>
        </w:rPr>
        <w:t>tégie proposée par Alter et</w:t>
      </w:r>
      <w:r w:rsidR="00B6716D" w:rsidRPr="1F6905BC">
        <w:rPr>
          <w:rFonts w:ascii="Times New Roman" w:eastAsia="Times New Roman" w:hAnsi="Times New Roman" w:cs="Times New Roman"/>
        </w:rPr>
        <w:t xml:space="preserve"> Meunier est celle du changement d'institution</w:t>
      </w:r>
      <w:r w:rsidR="00B6716D" w:rsidRPr="04DC667E">
        <w:rPr>
          <w:rFonts w:ascii="Times New Roman" w:eastAsia="Times New Roman" w:hAnsi="Times New Roman" w:cs="Times New Roman"/>
          <w:i/>
          <w:iCs/>
        </w:rPr>
        <w:t xml:space="preserve"> </w:t>
      </w:r>
      <w:r w:rsidR="00B6716D" w:rsidRPr="1F6905BC">
        <w:rPr>
          <w:rFonts w:ascii="Times New Roman" w:eastAsia="Times New Roman" w:hAnsi="Times New Roman" w:cs="Times New Roman"/>
        </w:rPr>
        <w:t xml:space="preserve">(2009 : 17). Dans certains cas, un acteur peut tout simplement décider d'abandonner une institution au profit d'une nouvelle ou </w:t>
      </w:r>
      <w:r w:rsidR="00FF1155">
        <w:rPr>
          <w:rFonts w:ascii="Times New Roman" w:eastAsia="Times New Roman" w:hAnsi="Times New Roman" w:cs="Times New Roman"/>
        </w:rPr>
        <w:t>d’</w:t>
      </w:r>
      <w:r w:rsidR="00B6716D" w:rsidRPr="1F6905BC">
        <w:rPr>
          <w:rFonts w:ascii="Times New Roman" w:eastAsia="Times New Roman" w:hAnsi="Times New Roman" w:cs="Times New Roman"/>
        </w:rPr>
        <w:t>une autre</w:t>
      </w:r>
      <w:r w:rsidR="00790B4E">
        <w:rPr>
          <w:rFonts w:ascii="Times New Roman" w:eastAsia="Times New Roman" w:hAnsi="Times New Roman" w:cs="Times New Roman"/>
        </w:rPr>
        <w:t>,</w:t>
      </w:r>
      <w:r w:rsidR="00FF1155">
        <w:rPr>
          <w:rFonts w:ascii="Times New Roman" w:eastAsia="Times New Roman" w:hAnsi="Times New Roman" w:cs="Times New Roman"/>
        </w:rPr>
        <w:t xml:space="preserve"> déjà existante</w:t>
      </w:r>
      <w:r w:rsidR="00790B4E">
        <w:rPr>
          <w:rFonts w:ascii="Times New Roman" w:eastAsia="Times New Roman" w:hAnsi="Times New Roman" w:cs="Times New Roman"/>
        </w:rPr>
        <w:t>,</w:t>
      </w:r>
      <w:r w:rsidR="00B6716D" w:rsidRPr="1F6905BC">
        <w:rPr>
          <w:rFonts w:ascii="Times New Roman" w:eastAsia="Times New Roman" w:hAnsi="Times New Roman" w:cs="Times New Roman"/>
        </w:rPr>
        <w:t xml:space="preserve"> qui lui convient mieux. </w:t>
      </w:r>
      <w:r w:rsidR="04DC667E" w:rsidRPr="04DC667E">
        <w:rPr>
          <w:rFonts w:ascii="Times New Roman" w:eastAsia="Times New Roman" w:hAnsi="Times New Roman" w:cs="Times New Roman"/>
        </w:rPr>
        <w:t>Le Venez</w:t>
      </w:r>
      <w:r w:rsidR="00FF1155">
        <w:rPr>
          <w:rFonts w:ascii="Times New Roman" w:eastAsia="Times New Roman" w:hAnsi="Times New Roman" w:cs="Times New Roman"/>
        </w:rPr>
        <w:t>uela, l’Équateur et la Bolivie ont</w:t>
      </w:r>
      <w:r w:rsidR="04DC667E" w:rsidRPr="04DC667E">
        <w:rPr>
          <w:rFonts w:ascii="Times New Roman" w:eastAsia="Times New Roman" w:hAnsi="Times New Roman" w:cs="Times New Roman"/>
        </w:rPr>
        <w:t xml:space="preserve"> clairement </w:t>
      </w:r>
      <w:r w:rsidR="00FF1155">
        <w:rPr>
          <w:rFonts w:ascii="Times New Roman" w:eastAsia="Times New Roman" w:hAnsi="Times New Roman" w:cs="Times New Roman"/>
        </w:rPr>
        <w:t xml:space="preserve">utilisé </w:t>
      </w:r>
      <w:r w:rsidR="04DC667E" w:rsidRPr="04DC667E">
        <w:rPr>
          <w:rFonts w:ascii="Times New Roman" w:eastAsia="Times New Roman" w:hAnsi="Times New Roman" w:cs="Times New Roman"/>
        </w:rPr>
        <w:t xml:space="preserve">cette stratégie en décidant de se retirer du CIRDI </w:t>
      </w:r>
      <w:r w:rsidR="00837796">
        <w:rPr>
          <w:rFonts w:ascii="Times New Roman" w:eastAsia="Times New Roman" w:hAnsi="Times New Roman" w:cs="Times New Roman"/>
        </w:rPr>
        <w:t xml:space="preserve">suite à une série de décisions arbitrales qui ne leur convenaient pas </w:t>
      </w:r>
      <w:r w:rsidR="00D53071">
        <w:rPr>
          <w:rFonts w:ascii="Times New Roman" w:eastAsia="Times New Roman" w:hAnsi="Times New Roman" w:cs="Times New Roman"/>
        </w:rPr>
        <w:t>(</w:t>
      </w:r>
      <w:proofErr w:type="spellStart"/>
      <w:r w:rsidR="00D53071">
        <w:rPr>
          <w:rFonts w:ascii="Times New Roman" w:eastAsia="Times New Roman" w:hAnsi="Times New Roman" w:cs="Times New Roman"/>
        </w:rPr>
        <w:t>Allee</w:t>
      </w:r>
      <w:proofErr w:type="spellEnd"/>
      <w:r w:rsidR="00D53071">
        <w:rPr>
          <w:rFonts w:ascii="Times New Roman" w:eastAsia="Times New Roman" w:hAnsi="Times New Roman" w:cs="Times New Roman"/>
        </w:rPr>
        <w:t xml:space="preserve"> et </w:t>
      </w:r>
      <w:proofErr w:type="spellStart"/>
      <w:r w:rsidR="00D53071">
        <w:rPr>
          <w:rFonts w:ascii="Times New Roman" w:eastAsia="Times New Roman" w:hAnsi="Times New Roman" w:cs="Times New Roman"/>
        </w:rPr>
        <w:t>Peinhardt</w:t>
      </w:r>
      <w:proofErr w:type="spellEnd"/>
      <w:r w:rsidR="00D53071">
        <w:rPr>
          <w:rFonts w:ascii="Times New Roman" w:eastAsia="Times New Roman" w:hAnsi="Times New Roman" w:cs="Times New Roman"/>
        </w:rPr>
        <w:t xml:space="preserve"> 2010 : 8; </w:t>
      </w:r>
      <w:proofErr w:type="spellStart"/>
      <w:r w:rsidR="00D53071">
        <w:rPr>
          <w:rFonts w:ascii="Times New Roman" w:eastAsia="Times New Roman" w:hAnsi="Times New Roman" w:cs="Times New Roman"/>
        </w:rPr>
        <w:t>Poulsen</w:t>
      </w:r>
      <w:proofErr w:type="spellEnd"/>
      <w:r w:rsidR="04DC667E" w:rsidRPr="04DC667E">
        <w:rPr>
          <w:rFonts w:ascii="Times New Roman" w:eastAsia="Times New Roman" w:hAnsi="Times New Roman" w:cs="Times New Roman"/>
        </w:rPr>
        <w:t xml:space="preserve"> 2015 : 4)</w:t>
      </w:r>
      <w:r w:rsidR="00790B4E">
        <w:rPr>
          <w:rFonts w:ascii="Times New Roman" w:eastAsia="Times New Roman" w:hAnsi="Times New Roman" w:cs="Times New Roman"/>
        </w:rPr>
        <w:t xml:space="preserve"> Les troisième et</w:t>
      </w:r>
      <w:r w:rsidR="00B6716D" w:rsidRPr="1F6905BC">
        <w:rPr>
          <w:rFonts w:ascii="Times New Roman" w:eastAsia="Times New Roman" w:hAnsi="Times New Roman" w:cs="Times New Roman"/>
        </w:rPr>
        <w:t xml:space="preserve"> quatrième stratégie</w:t>
      </w:r>
      <w:r w:rsidR="00790B4E">
        <w:rPr>
          <w:rFonts w:ascii="Times New Roman" w:eastAsia="Times New Roman" w:hAnsi="Times New Roman" w:cs="Times New Roman"/>
        </w:rPr>
        <w:t>s</w:t>
      </w:r>
      <w:r w:rsidR="00B6716D" w:rsidRPr="1F6905BC">
        <w:rPr>
          <w:rFonts w:ascii="Times New Roman" w:eastAsia="Times New Roman" w:hAnsi="Times New Roman" w:cs="Times New Roman"/>
        </w:rPr>
        <w:t xml:space="preserve"> s</w:t>
      </w:r>
      <w:r w:rsidR="00837796">
        <w:rPr>
          <w:rFonts w:ascii="Times New Roman" w:eastAsia="Times New Roman" w:hAnsi="Times New Roman" w:cs="Times New Roman"/>
        </w:rPr>
        <w:t>oulignée</w:t>
      </w:r>
      <w:r w:rsidR="00790B4E">
        <w:rPr>
          <w:rFonts w:ascii="Times New Roman" w:eastAsia="Times New Roman" w:hAnsi="Times New Roman" w:cs="Times New Roman"/>
        </w:rPr>
        <w:t>s</w:t>
      </w:r>
      <w:r w:rsidR="00837796">
        <w:rPr>
          <w:rFonts w:ascii="Times New Roman" w:eastAsia="Times New Roman" w:hAnsi="Times New Roman" w:cs="Times New Roman"/>
        </w:rPr>
        <w:t xml:space="preserve"> par Alter et Meunier </w:t>
      </w:r>
      <w:r w:rsidR="00790B4E">
        <w:rPr>
          <w:rFonts w:ascii="Times New Roman" w:eastAsia="Times New Roman" w:hAnsi="Times New Roman" w:cs="Times New Roman"/>
        </w:rPr>
        <w:t xml:space="preserve">correspondent </w:t>
      </w:r>
      <w:r w:rsidR="00B6716D" w:rsidRPr="1F6905BC">
        <w:rPr>
          <w:rFonts w:ascii="Times New Roman" w:eastAsia="Times New Roman" w:hAnsi="Times New Roman" w:cs="Times New Roman"/>
        </w:rPr>
        <w:t xml:space="preserve">à </w:t>
      </w:r>
      <w:r w:rsidR="00534098" w:rsidRPr="1F6905BC">
        <w:rPr>
          <w:rFonts w:ascii="Times New Roman" w:eastAsia="Times New Roman" w:hAnsi="Times New Roman" w:cs="Times New Roman"/>
        </w:rPr>
        <w:t xml:space="preserve">celles où </w:t>
      </w:r>
      <w:r w:rsidR="00F03F3D" w:rsidRPr="1F6905BC">
        <w:rPr>
          <w:rFonts w:ascii="Times New Roman" w:eastAsia="Times New Roman" w:hAnsi="Times New Roman" w:cs="Times New Roman"/>
        </w:rPr>
        <w:t>un État peut</w:t>
      </w:r>
      <w:r w:rsidR="00FC63DE">
        <w:rPr>
          <w:rFonts w:ascii="Times New Roman" w:eastAsia="Times New Roman" w:hAnsi="Times New Roman" w:cs="Times New Roman"/>
        </w:rPr>
        <w:t xml:space="preserve"> sciemment</w:t>
      </w:r>
      <w:r w:rsidR="00F03F3D" w:rsidRPr="1F6905BC">
        <w:rPr>
          <w:rFonts w:ascii="Times New Roman" w:eastAsia="Times New Roman" w:hAnsi="Times New Roman" w:cs="Times New Roman"/>
        </w:rPr>
        <w:t xml:space="preserve"> créer des ambigüités, voire des incohérences entre des règles à travers plusieurs institutions.</w:t>
      </w:r>
      <w:r w:rsidR="00562027" w:rsidRPr="1F6905BC">
        <w:rPr>
          <w:rFonts w:ascii="Times New Roman" w:eastAsia="Times New Roman" w:hAnsi="Times New Roman" w:cs="Times New Roman"/>
        </w:rPr>
        <w:t xml:space="preserve"> </w:t>
      </w:r>
      <w:r w:rsidR="00837796">
        <w:rPr>
          <w:rFonts w:ascii="Times New Roman" w:eastAsia="Times New Roman" w:hAnsi="Times New Roman" w:cs="Times New Roman"/>
        </w:rPr>
        <w:t>Au sein du régime des investissements, aucun exemple n’</w:t>
      </w:r>
      <w:proofErr w:type="spellStart"/>
      <w:r w:rsidR="00837796">
        <w:rPr>
          <w:rFonts w:ascii="Times New Roman" w:eastAsia="Times New Roman" w:hAnsi="Times New Roman" w:cs="Times New Roman"/>
        </w:rPr>
        <w:t>apparaît</w:t>
      </w:r>
      <w:proofErr w:type="spellEnd"/>
      <w:r w:rsidR="00837796">
        <w:rPr>
          <w:rFonts w:ascii="Times New Roman" w:eastAsia="Times New Roman" w:hAnsi="Times New Roman" w:cs="Times New Roman"/>
        </w:rPr>
        <w:t xml:space="preserve"> cependant évident à souligner. Une telle stratégie </w:t>
      </w:r>
      <w:r w:rsidR="00790B4E">
        <w:rPr>
          <w:rFonts w:ascii="Times New Roman" w:eastAsia="Times New Roman" w:hAnsi="Times New Roman" w:cs="Times New Roman"/>
        </w:rPr>
        <w:t xml:space="preserve">serait </w:t>
      </w:r>
      <w:r w:rsidR="00837796">
        <w:rPr>
          <w:rFonts w:ascii="Times New Roman" w:eastAsia="Times New Roman" w:hAnsi="Times New Roman" w:cs="Times New Roman"/>
        </w:rPr>
        <w:t xml:space="preserve">d’ailleurs difficile à appliquer étant donné l’existence des clauses de la nation la plus favorisée (NPF) qui limitent l’intérêt de créer </w:t>
      </w:r>
      <w:r w:rsidR="00063F25">
        <w:rPr>
          <w:rFonts w:ascii="Times New Roman" w:eastAsia="Times New Roman" w:hAnsi="Times New Roman" w:cs="Times New Roman"/>
        </w:rPr>
        <w:t xml:space="preserve">à dessein </w:t>
      </w:r>
      <w:r w:rsidR="00837796">
        <w:rPr>
          <w:rFonts w:ascii="Times New Roman" w:eastAsia="Times New Roman" w:hAnsi="Times New Roman" w:cs="Times New Roman"/>
        </w:rPr>
        <w:t xml:space="preserve">des </w:t>
      </w:r>
      <w:proofErr w:type="spellStart"/>
      <w:r w:rsidR="00837796">
        <w:rPr>
          <w:rFonts w:ascii="Times New Roman" w:eastAsia="Times New Roman" w:hAnsi="Times New Roman" w:cs="Times New Roman"/>
        </w:rPr>
        <w:t>ambiguïtés</w:t>
      </w:r>
      <w:proofErr w:type="spellEnd"/>
      <w:r w:rsidR="00837796">
        <w:rPr>
          <w:rFonts w:ascii="Times New Roman" w:eastAsia="Times New Roman" w:hAnsi="Times New Roman" w:cs="Times New Roman"/>
        </w:rPr>
        <w:t xml:space="preserve"> ou des incohérences puisque les États s’engagent à offrir à leur</w:t>
      </w:r>
      <w:r w:rsidR="00790B4E">
        <w:rPr>
          <w:rFonts w:ascii="Times New Roman" w:eastAsia="Times New Roman" w:hAnsi="Times New Roman" w:cs="Times New Roman"/>
        </w:rPr>
        <w:t>s</w:t>
      </w:r>
      <w:r w:rsidR="00837796">
        <w:rPr>
          <w:rFonts w:ascii="Times New Roman" w:eastAsia="Times New Roman" w:hAnsi="Times New Roman" w:cs="Times New Roman"/>
        </w:rPr>
        <w:t xml:space="preserve"> partenaire</w:t>
      </w:r>
      <w:r w:rsidR="00790B4E">
        <w:rPr>
          <w:rFonts w:ascii="Times New Roman" w:eastAsia="Times New Roman" w:hAnsi="Times New Roman" w:cs="Times New Roman"/>
        </w:rPr>
        <w:t>s</w:t>
      </w:r>
      <w:r w:rsidR="00837796">
        <w:rPr>
          <w:rFonts w:ascii="Times New Roman" w:eastAsia="Times New Roman" w:hAnsi="Times New Roman" w:cs="Times New Roman"/>
        </w:rPr>
        <w:t xml:space="preserve"> un traitement équivalent au </w:t>
      </w:r>
      <w:r w:rsidR="00063F25">
        <w:rPr>
          <w:rFonts w:ascii="Times New Roman" w:eastAsia="Times New Roman" w:hAnsi="Times New Roman" w:cs="Times New Roman"/>
        </w:rPr>
        <w:t>plus favorable</w:t>
      </w:r>
      <w:r w:rsidR="00837796">
        <w:rPr>
          <w:rFonts w:ascii="Times New Roman" w:eastAsia="Times New Roman" w:hAnsi="Times New Roman" w:cs="Times New Roman"/>
        </w:rPr>
        <w:t xml:space="preserve"> qu’ils offrent à tous leurs autres partenaires. </w:t>
      </w:r>
    </w:p>
    <w:p w14:paraId="02C6D1D4" w14:textId="131307C7" w:rsidR="00103AFE" w:rsidRPr="006A5780" w:rsidRDefault="00103AFE" w:rsidP="004F762A">
      <w:pPr>
        <w:pStyle w:val="Titre3"/>
        <w:rPr>
          <w:rFonts w:ascii="Times New Roman" w:hAnsi="Times New Roman" w:cs="Times New Roman"/>
          <w:b w:val="0"/>
          <w:i/>
          <w:color w:val="auto"/>
          <w:sz w:val="26"/>
          <w:szCs w:val="26"/>
        </w:rPr>
      </w:pPr>
      <w:bookmarkStart w:id="6" w:name="_Toc313471458"/>
      <w:r w:rsidRPr="006A5780">
        <w:rPr>
          <w:rFonts w:ascii="Times New Roman" w:hAnsi="Times New Roman" w:cs="Times New Roman"/>
          <w:b w:val="0"/>
          <w:i/>
          <w:color w:val="auto"/>
          <w:sz w:val="26"/>
          <w:szCs w:val="26"/>
        </w:rPr>
        <w:lastRenderedPageBreak/>
        <w:t>2.2.3 La rationalité limitée des acteurs au sein d’un complexe</w:t>
      </w:r>
      <w:bookmarkEnd w:id="6"/>
    </w:p>
    <w:p w14:paraId="4E3C17CF" w14:textId="5FCAC6A7" w:rsidR="00E43009" w:rsidRDefault="00F03F3D" w:rsidP="00BA43F7">
      <w:pPr>
        <w:spacing w:before="120" w:after="120" w:line="360" w:lineRule="auto"/>
        <w:jc w:val="both"/>
        <w:rPr>
          <w:rFonts w:ascii="Times New Roman" w:eastAsia="Times New Roman" w:hAnsi="Times New Roman" w:cs="Times New Roman"/>
        </w:rPr>
      </w:pPr>
      <w:r w:rsidRPr="1F6905BC">
        <w:rPr>
          <w:rFonts w:ascii="Times New Roman" w:eastAsia="Times New Roman" w:hAnsi="Times New Roman" w:cs="Times New Roman"/>
        </w:rPr>
        <w:t>Troisièmement, étant don</w:t>
      </w:r>
      <w:r w:rsidR="0058465A">
        <w:rPr>
          <w:rFonts w:ascii="Times New Roman" w:eastAsia="Times New Roman" w:hAnsi="Times New Roman" w:cs="Times New Roman"/>
        </w:rPr>
        <w:t xml:space="preserve">né le </w:t>
      </w:r>
      <w:r w:rsidR="00063F25">
        <w:rPr>
          <w:rFonts w:ascii="Times New Roman" w:eastAsia="Times New Roman" w:hAnsi="Times New Roman" w:cs="Times New Roman"/>
        </w:rPr>
        <w:t xml:space="preserve">grand </w:t>
      </w:r>
      <w:r w:rsidR="0058465A">
        <w:rPr>
          <w:rFonts w:ascii="Times New Roman" w:eastAsia="Times New Roman" w:hAnsi="Times New Roman" w:cs="Times New Roman"/>
        </w:rPr>
        <w:t>nombre  d’éléments</w:t>
      </w:r>
      <w:r w:rsidRPr="1F6905BC">
        <w:rPr>
          <w:rFonts w:ascii="Times New Roman" w:eastAsia="Times New Roman" w:hAnsi="Times New Roman" w:cs="Times New Roman"/>
        </w:rPr>
        <w:t xml:space="preserve"> qui </w:t>
      </w:r>
      <w:r w:rsidR="00063F25">
        <w:rPr>
          <w:rFonts w:ascii="Times New Roman" w:eastAsia="Times New Roman" w:hAnsi="Times New Roman" w:cs="Times New Roman"/>
        </w:rPr>
        <w:t xml:space="preserve">peuvent </w:t>
      </w:r>
      <w:r w:rsidRPr="1F6905BC">
        <w:rPr>
          <w:rFonts w:ascii="Times New Roman" w:eastAsia="Times New Roman" w:hAnsi="Times New Roman" w:cs="Times New Roman"/>
        </w:rPr>
        <w:t>forme</w:t>
      </w:r>
      <w:r w:rsidR="00063F25">
        <w:rPr>
          <w:rFonts w:ascii="Times New Roman" w:eastAsia="Times New Roman" w:hAnsi="Times New Roman" w:cs="Times New Roman"/>
        </w:rPr>
        <w:t>r</w:t>
      </w:r>
      <w:r w:rsidRPr="1F6905BC">
        <w:rPr>
          <w:rFonts w:ascii="Times New Roman" w:eastAsia="Times New Roman" w:hAnsi="Times New Roman" w:cs="Times New Roman"/>
        </w:rPr>
        <w:t xml:space="preserve"> un complexe,</w:t>
      </w:r>
      <w:r w:rsidR="00FC63DE">
        <w:rPr>
          <w:rFonts w:ascii="Times New Roman" w:eastAsia="Times New Roman" w:hAnsi="Times New Roman" w:cs="Times New Roman"/>
        </w:rPr>
        <w:t xml:space="preserve"> Alter et Meunier soutiennent que</w:t>
      </w:r>
      <w:r w:rsidR="0058465A">
        <w:rPr>
          <w:rFonts w:ascii="Times New Roman" w:eastAsia="Times New Roman" w:hAnsi="Times New Roman" w:cs="Times New Roman"/>
        </w:rPr>
        <w:t xml:space="preserve"> la rationalité des agents est nécessairement limitée</w:t>
      </w:r>
      <w:r w:rsidRPr="1F6905BC">
        <w:rPr>
          <w:rFonts w:ascii="Times New Roman" w:eastAsia="Times New Roman" w:hAnsi="Times New Roman" w:cs="Times New Roman"/>
        </w:rPr>
        <w:t xml:space="preserve"> (20</w:t>
      </w:r>
      <w:r w:rsidR="0028485D" w:rsidRPr="1F6905BC">
        <w:rPr>
          <w:rFonts w:ascii="Times New Roman" w:eastAsia="Times New Roman" w:hAnsi="Times New Roman" w:cs="Times New Roman"/>
        </w:rPr>
        <w:t xml:space="preserve">09 : 17). </w:t>
      </w:r>
      <w:r w:rsidR="00790B4E">
        <w:rPr>
          <w:rFonts w:ascii="Times New Roman" w:eastAsia="Times New Roman" w:hAnsi="Times New Roman" w:cs="Times New Roman"/>
        </w:rPr>
        <w:t xml:space="preserve">Ici </w:t>
      </w:r>
      <w:r w:rsidR="00063F25">
        <w:rPr>
          <w:rFonts w:ascii="Times New Roman" w:eastAsia="Times New Roman" w:hAnsi="Times New Roman" w:cs="Times New Roman"/>
        </w:rPr>
        <w:t>encore</w:t>
      </w:r>
      <w:r w:rsidR="00790B4E">
        <w:rPr>
          <w:rFonts w:ascii="Times New Roman" w:eastAsia="Times New Roman" w:hAnsi="Times New Roman" w:cs="Times New Roman"/>
        </w:rPr>
        <w:t xml:space="preserve"> la prudence s’impose</w:t>
      </w:r>
      <w:r w:rsidR="007A5D0F">
        <w:rPr>
          <w:rFonts w:ascii="Times New Roman" w:eastAsia="Times New Roman" w:hAnsi="Times New Roman" w:cs="Times New Roman"/>
        </w:rPr>
        <w:t xml:space="preserve"> puisque </w:t>
      </w:r>
      <w:r w:rsidR="0058465A">
        <w:rPr>
          <w:rFonts w:ascii="Times New Roman" w:eastAsia="Times New Roman" w:hAnsi="Times New Roman" w:cs="Times New Roman"/>
        </w:rPr>
        <w:t>le concep</w:t>
      </w:r>
      <w:r w:rsidR="007A5D0F">
        <w:rPr>
          <w:rFonts w:ascii="Times New Roman" w:eastAsia="Times New Roman" w:hAnsi="Times New Roman" w:cs="Times New Roman"/>
        </w:rPr>
        <w:t>t</w:t>
      </w:r>
      <w:r w:rsidR="0058465A">
        <w:rPr>
          <w:rFonts w:ascii="Times New Roman" w:eastAsia="Times New Roman" w:hAnsi="Times New Roman" w:cs="Times New Roman"/>
        </w:rPr>
        <w:t xml:space="preserve"> de rationalité limitée se distingue des modèles </w:t>
      </w:r>
      <w:r w:rsidR="00790B4E">
        <w:rPr>
          <w:rFonts w:ascii="Times New Roman" w:eastAsia="Times New Roman" w:hAnsi="Times New Roman" w:cs="Times New Roman"/>
        </w:rPr>
        <w:t xml:space="preserve">rationnels </w:t>
      </w:r>
      <w:r w:rsidR="0058465A">
        <w:rPr>
          <w:rFonts w:ascii="Times New Roman" w:eastAsia="Times New Roman" w:hAnsi="Times New Roman" w:cs="Times New Roman"/>
        </w:rPr>
        <w:t>non pas à cause du nombre d’informations à traiter par les agents, mais bien par l’heuristique</w:t>
      </w:r>
      <w:r w:rsidR="002D519B">
        <w:rPr>
          <w:rFonts w:ascii="Times New Roman" w:eastAsia="Times New Roman" w:hAnsi="Times New Roman" w:cs="Times New Roman"/>
        </w:rPr>
        <w:t>, et s</w:t>
      </w:r>
      <w:r w:rsidR="0058465A">
        <w:rPr>
          <w:rFonts w:ascii="Times New Roman" w:eastAsia="Times New Roman" w:hAnsi="Times New Roman" w:cs="Times New Roman"/>
        </w:rPr>
        <w:t>es biais cognitifs</w:t>
      </w:r>
      <w:r w:rsidR="002D519B">
        <w:rPr>
          <w:rFonts w:ascii="Times New Roman" w:eastAsia="Times New Roman" w:hAnsi="Times New Roman" w:cs="Times New Roman"/>
        </w:rPr>
        <w:t>,</w:t>
      </w:r>
      <w:r w:rsidR="0058465A">
        <w:rPr>
          <w:rFonts w:ascii="Times New Roman" w:eastAsia="Times New Roman" w:hAnsi="Times New Roman" w:cs="Times New Roman"/>
        </w:rPr>
        <w:t xml:space="preserve"> </w:t>
      </w:r>
      <w:r w:rsidR="002D519B">
        <w:rPr>
          <w:rFonts w:ascii="Times New Roman" w:eastAsia="Times New Roman" w:hAnsi="Times New Roman" w:cs="Times New Roman"/>
        </w:rPr>
        <w:t>adoptée</w:t>
      </w:r>
      <w:r w:rsidR="0058465A">
        <w:rPr>
          <w:rFonts w:ascii="Times New Roman" w:eastAsia="Times New Roman" w:hAnsi="Times New Roman" w:cs="Times New Roman"/>
        </w:rPr>
        <w:t xml:space="preserve"> </w:t>
      </w:r>
      <w:r w:rsidR="002D519B">
        <w:rPr>
          <w:rFonts w:ascii="Times New Roman" w:eastAsia="Times New Roman" w:hAnsi="Times New Roman" w:cs="Times New Roman"/>
        </w:rPr>
        <w:t>par les agents pour</w:t>
      </w:r>
      <w:r w:rsidR="0058465A">
        <w:rPr>
          <w:rFonts w:ascii="Times New Roman" w:eastAsia="Times New Roman" w:hAnsi="Times New Roman" w:cs="Times New Roman"/>
        </w:rPr>
        <w:t xml:space="preserve"> faire face</w:t>
      </w:r>
      <w:r w:rsidR="002D519B">
        <w:rPr>
          <w:rFonts w:ascii="Times New Roman" w:eastAsia="Times New Roman" w:hAnsi="Times New Roman" w:cs="Times New Roman"/>
        </w:rPr>
        <w:t xml:space="preserve"> à cet univers complexe</w:t>
      </w:r>
      <w:r w:rsidR="0058465A">
        <w:rPr>
          <w:rFonts w:ascii="Times New Roman" w:eastAsia="Times New Roman" w:hAnsi="Times New Roman" w:cs="Times New Roman"/>
        </w:rPr>
        <w:t xml:space="preserve">. Il est d’ailleurs possible d’intégrer </w:t>
      </w:r>
      <w:r w:rsidR="007A5D0F">
        <w:rPr>
          <w:rFonts w:ascii="Times New Roman" w:eastAsia="Times New Roman" w:hAnsi="Times New Roman" w:cs="Times New Roman"/>
        </w:rPr>
        <w:t xml:space="preserve">les </w:t>
      </w:r>
      <w:proofErr w:type="spellStart"/>
      <w:r w:rsidR="007A5D0F">
        <w:rPr>
          <w:rFonts w:ascii="Times New Roman" w:eastAsia="Times New Roman" w:hAnsi="Times New Roman" w:cs="Times New Roman"/>
        </w:rPr>
        <w:t>coûts</w:t>
      </w:r>
      <w:proofErr w:type="spellEnd"/>
      <w:r w:rsidR="007A5D0F">
        <w:rPr>
          <w:rFonts w:ascii="Times New Roman" w:eastAsia="Times New Roman" w:hAnsi="Times New Roman" w:cs="Times New Roman"/>
        </w:rPr>
        <w:t xml:space="preserve"> de transaction pour acquérir les informations </w:t>
      </w:r>
      <w:r w:rsidR="0058465A">
        <w:rPr>
          <w:rFonts w:ascii="Times New Roman" w:eastAsia="Times New Roman" w:hAnsi="Times New Roman" w:cs="Times New Roman"/>
        </w:rPr>
        <w:t>au sein d’</w:t>
      </w:r>
      <w:r w:rsidR="007A5D0F">
        <w:rPr>
          <w:rFonts w:ascii="Times New Roman" w:eastAsia="Times New Roman" w:hAnsi="Times New Roman" w:cs="Times New Roman"/>
        </w:rPr>
        <w:t>un modèle rationnel</w:t>
      </w:r>
      <w:r w:rsidR="0058465A">
        <w:rPr>
          <w:rFonts w:ascii="Times New Roman" w:eastAsia="Times New Roman" w:hAnsi="Times New Roman" w:cs="Times New Roman"/>
        </w:rPr>
        <w:t xml:space="preserve"> traditionnel et, dans certains cas, cela permettra d’obtenir les mêmes résultats qu’un modèle d’analyse basée sur le concept d</w:t>
      </w:r>
      <w:r w:rsidR="00D53071">
        <w:rPr>
          <w:rFonts w:ascii="Times New Roman" w:eastAsia="Times New Roman" w:hAnsi="Times New Roman" w:cs="Times New Roman"/>
        </w:rPr>
        <w:t>e rationalité limitée (</w:t>
      </w:r>
      <w:proofErr w:type="spellStart"/>
      <w:r w:rsidR="00D53071">
        <w:rPr>
          <w:rFonts w:ascii="Times New Roman" w:eastAsia="Times New Roman" w:hAnsi="Times New Roman" w:cs="Times New Roman"/>
        </w:rPr>
        <w:t>Meseguer</w:t>
      </w:r>
      <w:proofErr w:type="spellEnd"/>
      <w:r w:rsidR="0058465A">
        <w:rPr>
          <w:rFonts w:ascii="Times New Roman" w:eastAsia="Times New Roman" w:hAnsi="Times New Roman" w:cs="Times New Roman"/>
        </w:rPr>
        <w:t xml:space="preserve"> 2006). </w:t>
      </w:r>
    </w:p>
    <w:p w14:paraId="7D5699CF" w14:textId="4606B620" w:rsidR="002D519B" w:rsidRDefault="00E43009"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Cette précision apportée, il</w:t>
      </w:r>
      <w:r w:rsidR="0058465A">
        <w:rPr>
          <w:rFonts w:ascii="Times New Roman" w:eastAsia="Times New Roman" w:hAnsi="Times New Roman" w:cs="Times New Roman"/>
        </w:rPr>
        <w:t xml:space="preserve"> </w:t>
      </w:r>
      <w:proofErr w:type="spellStart"/>
      <w:r w:rsidR="00790B4E">
        <w:rPr>
          <w:rFonts w:ascii="Times New Roman" w:eastAsia="Times New Roman" w:hAnsi="Times New Roman" w:cs="Times New Roman"/>
        </w:rPr>
        <w:t>apparaît</w:t>
      </w:r>
      <w:proofErr w:type="spellEnd"/>
      <w:r>
        <w:rPr>
          <w:rFonts w:ascii="Times New Roman" w:eastAsia="Times New Roman" w:hAnsi="Times New Roman" w:cs="Times New Roman"/>
        </w:rPr>
        <w:t xml:space="preserve"> plus </w:t>
      </w:r>
      <w:r w:rsidR="0058465A">
        <w:rPr>
          <w:rFonts w:ascii="Times New Roman" w:eastAsia="Times New Roman" w:hAnsi="Times New Roman" w:cs="Times New Roman"/>
        </w:rPr>
        <w:t xml:space="preserve">intéressant d’utiliser les </w:t>
      </w:r>
      <w:r>
        <w:rPr>
          <w:rFonts w:ascii="Times New Roman" w:eastAsia="Times New Roman" w:hAnsi="Times New Roman" w:cs="Times New Roman"/>
        </w:rPr>
        <w:t>postulats de la r</w:t>
      </w:r>
      <w:r w:rsidR="00790B4E">
        <w:rPr>
          <w:rFonts w:ascii="Times New Roman" w:eastAsia="Times New Roman" w:hAnsi="Times New Roman" w:cs="Times New Roman"/>
        </w:rPr>
        <w:t xml:space="preserve">ationalité limitée puisque </w:t>
      </w:r>
      <w:r>
        <w:rPr>
          <w:rFonts w:ascii="Times New Roman" w:eastAsia="Times New Roman" w:hAnsi="Times New Roman" w:cs="Times New Roman"/>
        </w:rPr>
        <w:t xml:space="preserve">les simples </w:t>
      </w:r>
      <w:proofErr w:type="spellStart"/>
      <w:r>
        <w:rPr>
          <w:rFonts w:ascii="Times New Roman" w:eastAsia="Times New Roman" w:hAnsi="Times New Roman" w:cs="Times New Roman"/>
        </w:rPr>
        <w:t>coûts</w:t>
      </w:r>
      <w:proofErr w:type="spellEnd"/>
      <w:r>
        <w:rPr>
          <w:rFonts w:ascii="Times New Roman" w:eastAsia="Times New Roman" w:hAnsi="Times New Roman" w:cs="Times New Roman"/>
        </w:rPr>
        <w:t xml:space="preserve"> de transaction associés à la recherche d’informations </w:t>
      </w:r>
      <w:r w:rsidR="00790B4E">
        <w:rPr>
          <w:rFonts w:ascii="Times New Roman" w:eastAsia="Times New Roman" w:hAnsi="Times New Roman" w:cs="Times New Roman"/>
        </w:rPr>
        <w:t>ne semblent pas  permettre de bien expliquer les décisions des acteurs. Il semble difficile de soutenir qu’ils sont purement rationnels</w:t>
      </w:r>
      <w:r>
        <w:rPr>
          <w:rFonts w:ascii="Times New Roman" w:eastAsia="Times New Roman" w:hAnsi="Times New Roman" w:cs="Times New Roman"/>
        </w:rPr>
        <w:t xml:space="preserve">. Il </w:t>
      </w:r>
      <w:r w:rsidR="00A85CE0">
        <w:rPr>
          <w:rFonts w:ascii="Times New Roman" w:eastAsia="Times New Roman" w:hAnsi="Times New Roman" w:cs="Times New Roman"/>
        </w:rPr>
        <w:t>est en effet attendu qu’</w:t>
      </w:r>
      <w:r w:rsidR="00D80C05">
        <w:rPr>
          <w:rFonts w:ascii="Times New Roman" w:eastAsia="Times New Roman" w:hAnsi="Times New Roman" w:cs="Times New Roman"/>
        </w:rPr>
        <w:t>un</w:t>
      </w:r>
      <w:r>
        <w:rPr>
          <w:rFonts w:ascii="Times New Roman" w:eastAsia="Times New Roman" w:hAnsi="Times New Roman" w:cs="Times New Roman"/>
        </w:rPr>
        <w:t xml:space="preserve"> acteur purement rationnel </w:t>
      </w:r>
      <w:r w:rsidR="00D80C05">
        <w:rPr>
          <w:rFonts w:ascii="Times New Roman" w:eastAsia="Times New Roman" w:hAnsi="Times New Roman" w:cs="Times New Roman"/>
        </w:rPr>
        <w:t>effectuera</w:t>
      </w:r>
      <w:r w:rsidR="00A85CE0">
        <w:rPr>
          <w:rFonts w:ascii="Times New Roman" w:eastAsia="Times New Roman" w:hAnsi="Times New Roman" w:cs="Times New Roman"/>
        </w:rPr>
        <w:t xml:space="preserve"> au minimum</w:t>
      </w:r>
      <w:r w:rsidR="00D80C05">
        <w:rPr>
          <w:rFonts w:ascii="Times New Roman" w:eastAsia="Times New Roman" w:hAnsi="Times New Roman" w:cs="Times New Roman"/>
        </w:rPr>
        <w:t xml:space="preserve"> </w:t>
      </w:r>
      <w:r>
        <w:rPr>
          <w:rFonts w:ascii="Times New Roman" w:eastAsia="Times New Roman" w:hAnsi="Times New Roman" w:cs="Times New Roman"/>
        </w:rPr>
        <w:t xml:space="preserve">une étude </w:t>
      </w:r>
      <w:proofErr w:type="spellStart"/>
      <w:r>
        <w:rPr>
          <w:rFonts w:ascii="Times New Roman" w:eastAsia="Times New Roman" w:hAnsi="Times New Roman" w:cs="Times New Roman"/>
        </w:rPr>
        <w:t>coût</w:t>
      </w:r>
      <w:proofErr w:type="spellEnd"/>
      <w:r>
        <w:rPr>
          <w:rFonts w:ascii="Times New Roman" w:eastAsia="Times New Roman" w:hAnsi="Times New Roman" w:cs="Times New Roman"/>
        </w:rPr>
        <w:t xml:space="preserve">-bénéfice </w:t>
      </w:r>
      <w:r w:rsidR="00D80C05">
        <w:rPr>
          <w:rFonts w:ascii="Times New Roman" w:eastAsia="Times New Roman" w:hAnsi="Times New Roman" w:cs="Times New Roman"/>
        </w:rPr>
        <w:t xml:space="preserve">et tentera d’apprendre de l’expérience des autres agents </w:t>
      </w:r>
      <w:r>
        <w:rPr>
          <w:rFonts w:ascii="Times New Roman" w:eastAsia="Times New Roman" w:hAnsi="Times New Roman" w:cs="Times New Roman"/>
        </w:rPr>
        <w:t xml:space="preserve">avant </w:t>
      </w:r>
      <w:r w:rsidR="00D80C05">
        <w:rPr>
          <w:rFonts w:ascii="Times New Roman" w:eastAsia="Times New Roman" w:hAnsi="Times New Roman" w:cs="Times New Roman"/>
        </w:rPr>
        <w:t>de décider de prendre une action ou non, soit par exemple de</w:t>
      </w:r>
      <w:r>
        <w:rPr>
          <w:rFonts w:ascii="Times New Roman" w:eastAsia="Times New Roman" w:hAnsi="Times New Roman" w:cs="Times New Roman"/>
        </w:rPr>
        <w:t xml:space="preserve"> s</w:t>
      </w:r>
      <w:r w:rsidR="00D53071">
        <w:rPr>
          <w:rFonts w:ascii="Times New Roman" w:eastAsia="Times New Roman" w:hAnsi="Times New Roman" w:cs="Times New Roman"/>
        </w:rPr>
        <w:t>igner un traité ou non (</w:t>
      </w:r>
      <w:proofErr w:type="spellStart"/>
      <w:r w:rsidR="00D53071">
        <w:rPr>
          <w:rFonts w:ascii="Times New Roman" w:eastAsia="Times New Roman" w:hAnsi="Times New Roman" w:cs="Times New Roman"/>
        </w:rPr>
        <w:t>Poulsen</w:t>
      </w:r>
      <w:proofErr w:type="spellEnd"/>
      <w:r>
        <w:rPr>
          <w:rFonts w:ascii="Times New Roman" w:eastAsia="Times New Roman" w:hAnsi="Times New Roman" w:cs="Times New Roman"/>
        </w:rPr>
        <w:t xml:space="preserve"> 2015 : 32). </w:t>
      </w:r>
      <w:r w:rsidR="00D80C05">
        <w:rPr>
          <w:rFonts w:ascii="Times New Roman" w:eastAsia="Times New Roman" w:hAnsi="Times New Roman" w:cs="Times New Roman"/>
        </w:rPr>
        <w:t xml:space="preserve">Dans certains cas, un choix apparemment irrationnel pourra s’expliquer par l’incapacité de l’agent </w:t>
      </w:r>
      <w:r w:rsidR="00790B4E">
        <w:rPr>
          <w:rFonts w:ascii="Times New Roman" w:eastAsia="Times New Roman" w:hAnsi="Times New Roman" w:cs="Times New Roman"/>
        </w:rPr>
        <w:t>à obtenir l’information qui l’</w:t>
      </w:r>
      <w:r w:rsidR="00D80C05">
        <w:rPr>
          <w:rFonts w:ascii="Times New Roman" w:eastAsia="Times New Roman" w:hAnsi="Times New Roman" w:cs="Times New Roman"/>
        </w:rPr>
        <w:t xml:space="preserve">aurait </w:t>
      </w:r>
      <w:r w:rsidR="00790B4E">
        <w:rPr>
          <w:rFonts w:ascii="Times New Roman" w:eastAsia="Times New Roman" w:hAnsi="Times New Roman" w:cs="Times New Roman"/>
        </w:rPr>
        <w:t>amené à modifier sa décision</w:t>
      </w:r>
      <w:r w:rsidR="00D80C05">
        <w:rPr>
          <w:rFonts w:ascii="Times New Roman" w:eastAsia="Times New Roman" w:hAnsi="Times New Roman" w:cs="Times New Roman"/>
        </w:rPr>
        <w:t xml:space="preserve">. Dans le cadre du régime des investissements, il semble  difficile d’affirmer que certains choix des agents aient  été </w:t>
      </w:r>
      <w:r w:rsidR="002D2595">
        <w:rPr>
          <w:rFonts w:ascii="Times New Roman" w:eastAsia="Times New Roman" w:hAnsi="Times New Roman" w:cs="Times New Roman"/>
        </w:rPr>
        <w:t>faits uniquement</w:t>
      </w:r>
      <w:r w:rsidR="00D80C05">
        <w:rPr>
          <w:rFonts w:ascii="Times New Roman" w:eastAsia="Times New Roman" w:hAnsi="Times New Roman" w:cs="Times New Roman"/>
        </w:rPr>
        <w:t xml:space="preserve"> par manque d’information. </w:t>
      </w:r>
    </w:p>
    <w:p w14:paraId="5DB82908" w14:textId="2983D0BE" w:rsidR="002D519B" w:rsidRDefault="00D80C05"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 exemple, un </w:t>
      </w:r>
      <w:r w:rsidR="00790B4E">
        <w:rPr>
          <w:rFonts w:ascii="Times New Roman" w:eastAsia="Times New Roman" w:hAnsi="Times New Roman" w:cs="Times New Roman"/>
        </w:rPr>
        <w:t>nombre important de recherches ont démontré,</w:t>
      </w:r>
      <w:r w:rsidR="0031320D">
        <w:rPr>
          <w:rFonts w:ascii="Times New Roman" w:eastAsia="Times New Roman" w:hAnsi="Times New Roman" w:cs="Times New Roman"/>
        </w:rPr>
        <w:t xml:space="preserve"> depuis relativement longtemps,</w:t>
      </w:r>
      <w:r>
        <w:rPr>
          <w:rFonts w:ascii="Times New Roman" w:eastAsia="Times New Roman" w:hAnsi="Times New Roman" w:cs="Times New Roman"/>
        </w:rPr>
        <w:t xml:space="preserve"> qu’il </w:t>
      </w:r>
      <w:r w:rsidR="002D2595">
        <w:rPr>
          <w:rFonts w:ascii="Times New Roman" w:eastAsia="Times New Roman" w:hAnsi="Times New Roman" w:cs="Times New Roman"/>
        </w:rPr>
        <w:t>n’</w:t>
      </w:r>
      <w:r>
        <w:rPr>
          <w:rFonts w:ascii="Times New Roman" w:eastAsia="Times New Roman" w:hAnsi="Times New Roman" w:cs="Times New Roman"/>
        </w:rPr>
        <w:t>est</w:t>
      </w:r>
      <w:r w:rsidR="0031320D">
        <w:rPr>
          <w:rFonts w:ascii="Times New Roman" w:eastAsia="Times New Roman" w:hAnsi="Times New Roman" w:cs="Times New Roman"/>
        </w:rPr>
        <w:t xml:space="preserve"> </w:t>
      </w:r>
      <w:r w:rsidR="002D2595">
        <w:rPr>
          <w:rFonts w:ascii="Times New Roman" w:eastAsia="Times New Roman" w:hAnsi="Times New Roman" w:cs="Times New Roman"/>
        </w:rPr>
        <w:t xml:space="preserve">pas possible d’affirmer avec certitude </w:t>
      </w:r>
      <w:r w:rsidR="0031320D">
        <w:rPr>
          <w:rFonts w:ascii="Times New Roman" w:eastAsia="Times New Roman" w:hAnsi="Times New Roman" w:cs="Times New Roman"/>
        </w:rPr>
        <w:t xml:space="preserve">que la signature d’un traité bilatéral d’investissement </w:t>
      </w:r>
      <w:r w:rsidR="002D2595">
        <w:rPr>
          <w:rFonts w:ascii="Times New Roman" w:eastAsia="Times New Roman" w:hAnsi="Times New Roman" w:cs="Times New Roman"/>
        </w:rPr>
        <w:t>par un État</w:t>
      </w:r>
      <w:r w:rsidR="00400766">
        <w:rPr>
          <w:rFonts w:ascii="Times New Roman" w:eastAsia="Times New Roman" w:hAnsi="Times New Roman" w:cs="Times New Roman"/>
        </w:rPr>
        <w:t xml:space="preserve"> </w:t>
      </w:r>
      <w:r w:rsidR="002D2595">
        <w:rPr>
          <w:rFonts w:ascii="Times New Roman" w:eastAsia="Times New Roman" w:hAnsi="Times New Roman" w:cs="Times New Roman"/>
        </w:rPr>
        <w:t>stimule l’</w:t>
      </w:r>
      <w:r w:rsidR="0031320D">
        <w:rPr>
          <w:rFonts w:ascii="Times New Roman" w:eastAsia="Times New Roman" w:hAnsi="Times New Roman" w:cs="Times New Roman"/>
        </w:rPr>
        <w:t>investissement</w:t>
      </w:r>
      <w:r w:rsidR="002D2595">
        <w:rPr>
          <w:rFonts w:ascii="Times New Roman" w:eastAsia="Times New Roman" w:hAnsi="Times New Roman" w:cs="Times New Roman"/>
        </w:rPr>
        <w:t xml:space="preserve"> dans cet État</w:t>
      </w:r>
      <w:r w:rsidR="0031320D">
        <w:rPr>
          <w:rFonts w:ascii="Times New Roman" w:eastAsia="Times New Roman" w:hAnsi="Times New Roman" w:cs="Times New Roman"/>
        </w:rPr>
        <w:t xml:space="preserve">, </w:t>
      </w:r>
      <w:r w:rsidR="002D2595">
        <w:rPr>
          <w:rFonts w:ascii="Times New Roman" w:eastAsia="Times New Roman" w:hAnsi="Times New Roman" w:cs="Times New Roman"/>
        </w:rPr>
        <w:t>ce qui est pourtant</w:t>
      </w:r>
      <w:r w:rsidR="0031320D">
        <w:rPr>
          <w:rFonts w:ascii="Times New Roman" w:eastAsia="Times New Roman" w:hAnsi="Times New Roman" w:cs="Times New Roman"/>
        </w:rPr>
        <w:t xml:space="preserve"> un principe </w:t>
      </w:r>
      <w:r w:rsidR="002D2595">
        <w:rPr>
          <w:rFonts w:ascii="Times New Roman" w:eastAsia="Times New Roman" w:hAnsi="Times New Roman" w:cs="Times New Roman"/>
        </w:rPr>
        <w:t xml:space="preserve">fondateur </w:t>
      </w:r>
      <w:r w:rsidR="0031320D">
        <w:rPr>
          <w:rFonts w:ascii="Times New Roman" w:eastAsia="Times New Roman" w:hAnsi="Times New Roman" w:cs="Times New Roman"/>
        </w:rPr>
        <w:t>du régime des investissements (</w:t>
      </w:r>
      <w:proofErr w:type="spellStart"/>
      <w:r w:rsidR="00350417">
        <w:rPr>
          <w:rFonts w:ascii="Times New Roman" w:eastAsia="Times New Roman" w:hAnsi="Times New Roman" w:cs="Times New Roman"/>
        </w:rPr>
        <w:t>Poulsen</w:t>
      </w:r>
      <w:proofErr w:type="spellEnd"/>
      <w:r w:rsidR="00350417">
        <w:rPr>
          <w:rFonts w:ascii="Times New Roman" w:eastAsia="Times New Roman" w:hAnsi="Times New Roman" w:cs="Times New Roman"/>
        </w:rPr>
        <w:t xml:space="preserve"> 2014</w:t>
      </w:r>
      <w:r w:rsidR="00F01C83">
        <w:rPr>
          <w:rFonts w:ascii="Times New Roman" w:eastAsia="Times New Roman" w:hAnsi="Times New Roman" w:cs="Times New Roman"/>
        </w:rPr>
        <w:t>;</w:t>
      </w:r>
      <w:r w:rsidR="00350417">
        <w:rPr>
          <w:rFonts w:ascii="Times New Roman" w:eastAsia="Times New Roman" w:hAnsi="Times New Roman" w:cs="Times New Roman"/>
        </w:rPr>
        <w:t xml:space="preserve"> </w:t>
      </w:r>
      <w:proofErr w:type="spellStart"/>
      <w:r w:rsidR="00350417">
        <w:rPr>
          <w:rFonts w:ascii="Times New Roman" w:eastAsia="Times New Roman" w:hAnsi="Times New Roman" w:cs="Times New Roman"/>
        </w:rPr>
        <w:t>Colen</w:t>
      </w:r>
      <w:proofErr w:type="spellEnd"/>
      <w:r w:rsidR="00350417">
        <w:rPr>
          <w:rFonts w:ascii="Times New Roman" w:eastAsia="Times New Roman" w:hAnsi="Times New Roman" w:cs="Times New Roman"/>
        </w:rPr>
        <w:t xml:space="preserve"> </w:t>
      </w:r>
      <w:r w:rsidR="00350417">
        <w:rPr>
          <w:rFonts w:ascii="Times New Roman" w:eastAsia="Times New Roman" w:hAnsi="Times New Roman" w:cs="Times New Roman"/>
          <w:i/>
        </w:rPr>
        <w:t xml:space="preserve">et al. </w:t>
      </w:r>
      <w:r w:rsidR="002D5E96">
        <w:rPr>
          <w:rFonts w:ascii="Times New Roman" w:eastAsia="Times New Roman" w:hAnsi="Times New Roman" w:cs="Times New Roman"/>
        </w:rPr>
        <w:t>2013</w:t>
      </w:r>
      <w:r w:rsidR="0031320D">
        <w:rPr>
          <w:rFonts w:ascii="Times New Roman" w:eastAsia="Times New Roman" w:hAnsi="Times New Roman" w:cs="Times New Roman"/>
        </w:rPr>
        <w:t xml:space="preserve">). En fait, dès </w:t>
      </w:r>
      <w:r w:rsidR="00714B63">
        <w:rPr>
          <w:rFonts w:ascii="Times New Roman" w:eastAsia="Times New Roman" w:hAnsi="Times New Roman" w:cs="Times New Roman"/>
        </w:rPr>
        <w:t>1991, la Banque mondiale publiait un rapport indiquant que les traités bilatéraux d’investissement ne jouai</w:t>
      </w:r>
      <w:r w:rsidR="00790B4E">
        <w:rPr>
          <w:rFonts w:ascii="Times New Roman" w:eastAsia="Times New Roman" w:hAnsi="Times New Roman" w:cs="Times New Roman"/>
        </w:rPr>
        <w:t>en</w:t>
      </w:r>
      <w:r w:rsidR="00714B63">
        <w:rPr>
          <w:rFonts w:ascii="Times New Roman" w:eastAsia="Times New Roman" w:hAnsi="Times New Roman" w:cs="Times New Roman"/>
        </w:rPr>
        <w:t xml:space="preserve">t qu’un rôle mineur dans le choix d’investir ou </w:t>
      </w:r>
      <w:r w:rsidR="00714B63" w:rsidRPr="002D5E96">
        <w:rPr>
          <w:rFonts w:ascii="Times New Roman" w:eastAsia="Times New Roman" w:hAnsi="Times New Roman" w:cs="Times New Roman"/>
        </w:rPr>
        <w:t xml:space="preserve">non à l’étranger et que les preuves empiriques sur l’effet </w:t>
      </w:r>
      <w:r w:rsidR="00790B4E">
        <w:rPr>
          <w:rFonts w:ascii="Times New Roman" w:eastAsia="Times New Roman" w:hAnsi="Times New Roman" w:cs="Times New Roman"/>
        </w:rPr>
        <w:t xml:space="preserve">d’attraction </w:t>
      </w:r>
      <w:r w:rsidR="00714B63" w:rsidRPr="002D5E96">
        <w:rPr>
          <w:rFonts w:ascii="Times New Roman" w:eastAsia="Times New Roman" w:hAnsi="Times New Roman" w:cs="Times New Roman"/>
        </w:rPr>
        <w:t>de ces t</w:t>
      </w:r>
      <w:r w:rsidR="00350417">
        <w:rPr>
          <w:rFonts w:ascii="Times New Roman" w:eastAsia="Times New Roman" w:hAnsi="Times New Roman" w:cs="Times New Roman"/>
        </w:rPr>
        <w:t>raités étaient faibles (</w:t>
      </w:r>
      <w:proofErr w:type="spellStart"/>
      <w:r w:rsidR="00350417">
        <w:rPr>
          <w:rFonts w:ascii="Times New Roman" w:eastAsia="Times New Roman" w:hAnsi="Times New Roman" w:cs="Times New Roman"/>
        </w:rPr>
        <w:t>Poulsen</w:t>
      </w:r>
      <w:proofErr w:type="spellEnd"/>
      <w:r w:rsidR="00714B63" w:rsidRPr="002D5E96">
        <w:rPr>
          <w:rFonts w:ascii="Times New Roman" w:eastAsia="Times New Roman" w:hAnsi="Times New Roman" w:cs="Times New Roman"/>
        </w:rPr>
        <w:t xml:space="preserve"> 2015 : 8). </w:t>
      </w:r>
      <w:r w:rsidR="00790B4E">
        <w:rPr>
          <w:rFonts w:ascii="Times New Roman" w:eastAsia="Times New Roman" w:hAnsi="Times New Roman" w:cs="Times New Roman"/>
        </w:rPr>
        <w:t>Encore récemment</w:t>
      </w:r>
      <w:r w:rsidR="002D5E96" w:rsidRPr="002D5E96">
        <w:rPr>
          <w:rFonts w:ascii="Times New Roman" w:eastAsia="Times New Roman" w:hAnsi="Times New Roman" w:cs="Times New Roman"/>
        </w:rPr>
        <w:t xml:space="preserve">, </w:t>
      </w:r>
      <w:proofErr w:type="spellStart"/>
      <w:r w:rsidR="002D5E96" w:rsidRPr="002D5E96">
        <w:rPr>
          <w:rFonts w:ascii="Times New Roman" w:eastAsia="Times New Roman" w:hAnsi="Times New Roman" w:cs="Times New Roman"/>
        </w:rPr>
        <w:t>Yackee</w:t>
      </w:r>
      <w:proofErr w:type="spellEnd"/>
      <w:r w:rsidR="00790B4E">
        <w:rPr>
          <w:rFonts w:ascii="Times New Roman" w:eastAsia="Times New Roman" w:hAnsi="Times New Roman" w:cs="Times New Roman"/>
        </w:rPr>
        <w:t xml:space="preserve"> démontrai</w:t>
      </w:r>
      <w:r w:rsidR="008262B6" w:rsidRPr="002D5E96">
        <w:rPr>
          <w:rFonts w:ascii="Times New Roman" w:eastAsia="Times New Roman" w:hAnsi="Times New Roman" w:cs="Times New Roman"/>
        </w:rPr>
        <w:t>t que l’inclusion d’une clause permettant l’arbitrage investisseur</w:t>
      </w:r>
      <w:r w:rsidR="002D2595">
        <w:rPr>
          <w:rFonts w:ascii="Times New Roman" w:eastAsia="Times New Roman" w:hAnsi="Times New Roman" w:cs="Times New Roman"/>
        </w:rPr>
        <w:t>-</w:t>
      </w:r>
      <w:r w:rsidR="008262B6" w:rsidRPr="002D5E96">
        <w:rPr>
          <w:rFonts w:ascii="Times New Roman" w:eastAsia="Times New Roman" w:hAnsi="Times New Roman" w:cs="Times New Roman"/>
        </w:rPr>
        <w:t xml:space="preserve">État n’influençait </w:t>
      </w:r>
      <w:r w:rsidR="002D5E96" w:rsidRPr="002D5E96">
        <w:rPr>
          <w:rFonts w:ascii="Times New Roman" w:eastAsia="Times New Roman" w:hAnsi="Times New Roman" w:cs="Times New Roman"/>
        </w:rPr>
        <w:t xml:space="preserve">apparemment </w:t>
      </w:r>
      <w:r w:rsidR="008262B6" w:rsidRPr="002D5E96">
        <w:rPr>
          <w:rFonts w:ascii="Times New Roman" w:eastAsia="Times New Roman" w:hAnsi="Times New Roman" w:cs="Times New Roman"/>
        </w:rPr>
        <w:t xml:space="preserve">pas </w:t>
      </w:r>
      <w:r w:rsidR="00A85CE0">
        <w:rPr>
          <w:rFonts w:ascii="Times New Roman" w:eastAsia="Times New Roman" w:hAnsi="Times New Roman" w:cs="Times New Roman"/>
        </w:rPr>
        <w:t xml:space="preserve">de manière significative </w:t>
      </w:r>
      <w:r w:rsidR="008262B6" w:rsidRPr="002D5E96">
        <w:rPr>
          <w:rFonts w:ascii="Times New Roman" w:eastAsia="Times New Roman" w:hAnsi="Times New Roman" w:cs="Times New Roman"/>
        </w:rPr>
        <w:t>le nombre d’</w:t>
      </w:r>
      <w:r w:rsidR="002D519B" w:rsidRPr="002D5E96">
        <w:rPr>
          <w:rFonts w:ascii="Times New Roman" w:eastAsia="Times New Roman" w:hAnsi="Times New Roman" w:cs="Times New Roman"/>
        </w:rPr>
        <w:t>investissement</w:t>
      </w:r>
      <w:r w:rsidR="002D2595">
        <w:rPr>
          <w:rFonts w:ascii="Times New Roman" w:eastAsia="Times New Roman" w:hAnsi="Times New Roman" w:cs="Times New Roman"/>
        </w:rPr>
        <w:t>s</w:t>
      </w:r>
      <w:r w:rsidR="002D5E96" w:rsidRPr="002D5E96">
        <w:rPr>
          <w:rFonts w:ascii="Times New Roman" w:eastAsia="Times New Roman" w:hAnsi="Times New Roman" w:cs="Times New Roman"/>
        </w:rPr>
        <w:t xml:space="preserve"> </w:t>
      </w:r>
      <w:r w:rsidR="00790B4E">
        <w:rPr>
          <w:rFonts w:ascii="Times New Roman" w:eastAsia="Times New Roman" w:hAnsi="Times New Roman" w:cs="Times New Roman"/>
        </w:rPr>
        <w:t>effectué</w:t>
      </w:r>
      <w:r w:rsidR="002D2595">
        <w:rPr>
          <w:rFonts w:ascii="Times New Roman" w:eastAsia="Times New Roman" w:hAnsi="Times New Roman" w:cs="Times New Roman"/>
        </w:rPr>
        <w:t>s</w:t>
      </w:r>
      <w:r w:rsidR="00790B4E">
        <w:rPr>
          <w:rFonts w:ascii="Times New Roman" w:eastAsia="Times New Roman" w:hAnsi="Times New Roman" w:cs="Times New Roman"/>
        </w:rPr>
        <w:t xml:space="preserve"> sur le territoire d’un État </w:t>
      </w:r>
      <w:r w:rsidR="002D5E96" w:rsidRPr="002D5E96">
        <w:rPr>
          <w:rFonts w:ascii="Times New Roman" w:eastAsia="Times New Roman" w:hAnsi="Times New Roman" w:cs="Times New Roman"/>
        </w:rPr>
        <w:t>(2008)</w:t>
      </w:r>
      <w:r w:rsidR="00A85CE0">
        <w:rPr>
          <w:rFonts w:ascii="Times New Roman" w:eastAsia="Times New Roman" w:hAnsi="Times New Roman" w:cs="Times New Roman"/>
        </w:rPr>
        <w:t xml:space="preserve">. </w:t>
      </w:r>
      <w:r w:rsidR="002D519B" w:rsidRPr="002D5E96">
        <w:rPr>
          <w:rFonts w:ascii="Times New Roman" w:eastAsia="Times New Roman" w:hAnsi="Times New Roman" w:cs="Times New Roman"/>
        </w:rPr>
        <w:t xml:space="preserve">Tobin et </w:t>
      </w:r>
      <w:proofErr w:type="spellStart"/>
      <w:r w:rsidR="002D519B" w:rsidRPr="002D5E96">
        <w:rPr>
          <w:rFonts w:ascii="Times New Roman" w:eastAsia="Times New Roman" w:hAnsi="Times New Roman" w:cs="Times New Roman"/>
        </w:rPr>
        <w:t>Busch</w:t>
      </w:r>
      <w:proofErr w:type="spellEnd"/>
      <w:r w:rsidR="002D519B" w:rsidRPr="002D5E96">
        <w:rPr>
          <w:rFonts w:ascii="Times New Roman" w:eastAsia="Times New Roman" w:hAnsi="Times New Roman" w:cs="Times New Roman"/>
        </w:rPr>
        <w:t xml:space="preserve"> </w:t>
      </w:r>
      <w:r w:rsidR="00A85CE0">
        <w:rPr>
          <w:rFonts w:ascii="Times New Roman" w:eastAsia="Times New Roman" w:hAnsi="Times New Roman" w:cs="Times New Roman"/>
        </w:rPr>
        <w:t>ont quant à eux démontré</w:t>
      </w:r>
      <w:r w:rsidR="002D519B" w:rsidRPr="002D5E96">
        <w:rPr>
          <w:rFonts w:ascii="Times New Roman" w:eastAsia="Times New Roman" w:hAnsi="Times New Roman" w:cs="Times New Roman"/>
        </w:rPr>
        <w:t xml:space="preserve"> que la signature de plusieurs traités bilaté</w:t>
      </w:r>
      <w:r w:rsidR="006461B8">
        <w:rPr>
          <w:rFonts w:ascii="Times New Roman" w:eastAsia="Times New Roman" w:hAnsi="Times New Roman" w:cs="Times New Roman"/>
        </w:rPr>
        <w:t>raux d’investissement diminuai</w:t>
      </w:r>
      <w:r w:rsidR="002D519B" w:rsidRPr="002D5E96">
        <w:rPr>
          <w:rFonts w:ascii="Times New Roman" w:eastAsia="Times New Roman" w:hAnsi="Times New Roman" w:cs="Times New Roman"/>
        </w:rPr>
        <w:t>t les chances d’un pays en voie de développement de ratifier un accord de libre-échange</w:t>
      </w:r>
      <w:r w:rsidR="002D519B">
        <w:rPr>
          <w:rFonts w:ascii="Times New Roman" w:eastAsia="Times New Roman" w:hAnsi="Times New Roman" w:cs="Times New Roman"/>
        </w:rPr>
        <w:t xml:space="preserve"> avec un pays développé (2010). Dans ce </w:t>
      </w:r>
      <w:r w:rsidR="002D519B">
        <w:rPr>
          <w:rFonts w:ascii="Times New Roman" w:eastAsia="Times New Roman" w:hAnsi="Times New Roman" w:cs="Times New Roman"/>
        </w:rPr>
        <w:lastRenderedPageBreak/>
        <w:t>contexte, si les États signent réellement</w:t>
      </w:r>
      <w:r w:rsidR="00F01C83">
        <w:rPr>
          <w:rFonts w:ascii="Times New Roman" w:eastAsia="Times New Roman" w:hAnsi="Times New Roman" w:cs="Times New Roman"/>
        </w:rPr>
        <w:t xml:space="preserve"> de</w:t>
      </w:r>
      <w:r w:rsidR="002D519B">
        <w:rPr>
          <w:rFonts w:ascii="Times New Roman" w:eastAsia="Times New Roman" w:hAnsi="Times New Roman" w:cs="Times New Roman"/>
        </w:rPr>
        <w:t>s traités bilatéraux d’investissement uniquement dans le but d’attirer des investissements et pour se faire compéti</w:t>
      </w:r>
      <w:r w:rsidR="004E5678">
        <w:rPr>
          <w:rFonts w:ascii="Times New Roman" w:eastAsia="Times New Roman" w:hAnsi="Times New Roman" w:cs="Times New Roman"/>
        </w:rPr>
        <w:t xml:space="preserve">tion les uns aux autres (Guzman 1998; Elkins </w:t>
      </w:r>
      <w:r w:rsidR="004E5678">
        <w:rPr>
          <w:rFonts w:ascii="Times New Roman" w:eastAsia="Times New Roman" w:hAnsi="Times New Roman" w:cs="Times New Roman"/>
          <w:i/>
        </w:rPr>
        <w:t>et al.</w:t>
      </w:r>
      <w:r w:rsidR="004E5678">
        <w:rPr>
          <w:rFonts w:ascii="Times New Roman" w:eastAsia="Times New Roman" w:hAnsi="Times New Roman" w:cs="Times New Roman"/>
        </w:rPr>
        <w:t xml:space="preserve"> 2008; </w:t>
      </w:r>
      <w:proofErr w:type="spellStart"/>
      <w:r w:rsidR="004E5678">
        <w:rPr>
          <w:rFonts w:ascii="Times New Roman" w:eastAsia="Times New Roman" w:hAnsi="Times New Roman" w:cs="Times New Roman"/>
        </w:rPr>
        <w:t>Peinhardt</w:t>
      </w:r>
      <w:proofErr w:type="spellEnd"/>
      <w:r w:rsidR="004E5678">
        <w:rPr>
          <w:rFonts w:ascii="Times New Roman" w:eastAsia="Times New Roman" w:hAnsi="Times New Roman" w:cs="Times New Roman"/>
        </w:rPr>
        <w:t xml:space="preserve"> et </w:t>
      </w:r>
      <w:proofErr w:type="spellStart"/>
      <w:r w:rsidR="004E5678">
        <w:rPr>
          <w:rFonts w:ascii="Times New Roman" w:eastAsia="Times New Roman" w:hAnsi="Times New Roman" w:cs="Times New Roman"/>
        </w:rPr>
        <w:t>Allee</w:t>
      </w:r>
      <w:proofErr w:type="spellEnd"/>
      <w:r w:rsidR="004E5678">
        <w:rPr>
          <w:rFonts w:ascii="Times New Roman" w:eastAsia="Times New Roman" w:hAnsi="Times New Roman" w:cs="Times New Roman"/>
        </w:rPr>
        <w:t xml:space="preserve"> </w:t>
      </w:r>
      <w:r w:rsidR="002D519B">
        <w:rPr>
          <w:rFonts w:ascii="Times New Roman" w:eastAsia="Times New Roman" w:hAnsi="Times New Roman" w:cs="Times New Roman"/>
        </w:rPr>
        <w:t xml:space="preserve">2010), </w:t>
      </w:r>
      <w:r w:rsidR="006461B8" w:rsidRPr="006461B8">
        <w:rPr>
          <w:rFonts w:ascii="Times New Roman" w:eastAsia="Times New Roman" w:hAnsi="Times New Roman" w:cs="Times New Roman"/>
        </w:rPr>
        <w:t>il est particulièrement douteux que l’on puisse considérer que leurs négociateurs et décideurs publics aient adopté une attitude purement rationnelle.</w:t>
      </w:r>
    </w:p>
    <w:p w14:paraId="6EF4EC3F" w14:textId="31FE25E4" w:rsidR="002D519B" w:rsidRDefault="002D519B"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De même, </w:t>
      </w:r>
      <w:r w:rsidR="00F01C83">
        <w:rPr>
          <w:rFonts w:ascii="Times New Roman" w:eastAsia="Times New Roman" w:hAnsi="Times New Roman" w:cs="Times New Roman"/>
        </w:rPr>
        <w:t xml:space="preserve">il </w:t>
      </w:r>
      <w:r w:rsidR="006461B8">
        <w:rPr>
          <w:rFonts w:ascii="Times New Roman" w:eastAsia="Times New Roman" w:hAnsi="Times New Roman" w:cs="Times New Roman"/>
        </w:rPr>
        <w:t xml:space="preserve">peut </w:t>
      </w:r>
      <w:proofErr w:type="spellStart"/>
      <w:r w:rsidR="006461B8">
        <w:rPr>
          <w:rFonts w:ascii="Times New Roman" w:eastAsia="Times New Roman" w:hAnsi="Times New Roman" w:cs="Times New Roman"/>
        </w:rPr>
        <w:t>paraître</w:t>
      </w:r>
      <w:proofErr w:type="spellEnd"/>
      <w:r w:rsidR="00F01C83">
        <w:rPr>
          <w:rFonts w:ascii="Times New Roman" w:eastAsia="Times New Roman" w:hAnsi="Times New Roman" w:cs="Times New Roman"/>
        </w:rPr>
        <w:t xml:space="preserve"> étrange de remarquer que le nombre de signature</w:t>
      </w:r>
      <w:r w:rsidR="002D2595">
        <w:rPr>
          <w:rFonts w:ascii="Times New Roman" w:eastAsia="Times New Roman" w:hAnsi="Times New Roman" w:cs="Times New Roman"/>
        </w:rPr>
        <w:t>s</w:t>
      </w:r>
      <w:r w:rsidR="00F01C83">
        <w:rPr>
          <w:rFonts w:ascii="Times New Roman" w:eastAsia="Times New Roman" w:hAnsi="Times New Roman" w:cs="Times New Roman"/>
        </w:rPr>
        <w:t xml:space="preserve"> de traités bilatéraux d’investissement a</w:t>
      </w:r>
      <w:r w:rsidR="006461B8">
        <w:rPr>
          <w:rFonts w:ascii="Times New Roman" w:eastAsia="Times New Roman" w:hAnsi="Times New Roman" w:cs="Times New Roman"/>
        </w:rPr>
        <w:t>it</w:t>
      </w:r>
      <w:r w:rsidR="00F01C83">
        <w:rPr>
          <w:rFonts w:ascii="Times New Roman" w:eastAsia="Times New Roman" w:hAnsi="Times New Roman" w:cs="Times New Roman"/>
        </w:rPr>
        <w:t xml:space="preserve"> augmenté en même temps que le nombre de plaintes  déposées, et ce, sans que d’importantes modifications soient ap</w:t>
      </w:r>
      <w:r w:rsidR="004E5678">
        <w:rPr>
          <w:rFonts w:ascii="Times New Roman" w:eastAsia="Times New Roman" w:hAnsi="Times New Roman" w:cs="Times New Roman"/>
        </w:rPr>
        <w:t>portées à ces traités (</w:t>
      </w:r>
      <w:proofErr w:type="spellStart"/>
      <w:r w:rsidR="004E5678">
        <w:rPr>
          <w:rFonts w:ascii="Times New Roman" w:eastAsia="Times New Roman" w:hAnsi="Times New Roman" w:cs="Times New Roman"/>
        </w:rPr>
        <w:t>Poulsen</w:t>
      </w:r>
      <w:proofErr w:type="spellEnd"/>
      <w:r w:rsidR="004E5678">
        <w:rPr>
          <w:rFonts w:ascii="Times New Roman" w:eastAsia="Times New Roman" w:hAnsi="Times New Roman" w:cs="Times New Roman"/>
        </w:rPr>
        <w:t xml:space="preserve"> et </w:t>
      </w:r>
      <w:proofErr w:type="spellStart"/>
      <w:r w:rsidR="004E5678">
        <w:rPr>
          <w:rFonts w:ascii="Times New Roman" w:eastAsia="Times New Roman" w:hAnsi="Times New Roman" w:cs="Times New Roman"/>
        </w:rPr>
        <w:t>Aisbett</w:t>
      </w:r>
      <w:proofErr w:type="spellEnd"/>
      <w:r w:rsidR="00F01C83">
        <w:rPr>
          <w:rFonts w:ascii="Times New Roman" w:eastAsia="Times New Roman" w:hAnsi="Times New Roman" w:cs="Times New Roman"/>
        </w:rPr>
        <w:t xml:space="preserve"> 2013). Dans un modèle purement rationnel, les États auraient dû apprendre de l’expérience de leurs vis-à-vis afin de limiter les effets négatifs pouvant découler d’un traité bilatéral d’investissement. </w:t>
      </w:r>
      <w:r w:rsidR="008262B6">
        <w:rPr>
          <w:rFonts w:ascii="Times New Roman" w:eastAsia="Times New Roman" w:hAnsi="Times New Roman" w:cs="Times New Roman"/>
        </w:rPr>
        <w:t xml:space="preserve"> </w:t>
      </w:r>
      <w:proofErr w:type="spellStart"/>
      <w:r w:rsidR="009B4227">
        <w:rPr>
          <w:rFonts w:ascii="Times New Roman" w:eastAsia="Times New Roman" w:hAnsi="Times New Roman" w:cs="Times New Roman"/>
        </w:rPr>
        <w:t>Poulsen</w:t>
      </w:r>
      <w:proofErr w:type="spellEnd"/>
      <w:r w:rsidR="009B4227">
        <w:rPr>
          <w:rFonts w:ascii="Times New Roman" w:eastAsia="Times New Roman" w:hAnsi="Times New Roman" w:cs="Times New Roman"/>
        </w:rPr>
        <w:t xml:space="preserve"> </w:t>
      </w:r>
      <w:r w:rsidR="00F01C83">
        <w:rPr>
          <w:rFonts w:ascii="Times New Roman" w:eastAsia="Times New Roman" w:hAnsi="Times New Roman" w:cs="Times New Roman"/>
        </w:rPr>
        <w:t xml:space="preserve">indique d’ailleurs </w:t>
      </w:r>
      <w:r w:rsidR="009B4227">
        <w:rPr>
          <w:rFonts w:ascii="Times New Roman" w:eastAsia="Times New Roman" w:hAnsi="Times New Roman" w:cs="Times New Roman"/>
        </w:rPr>
        <w:t>qu’à pa</w:t>
      </w:r>
      <w:r w:rsidR="00F01C83">
        <w:rPr>
          <w:rFonts w:ascii="Times New Roman" w:eastAsia="Times New Roman" w:hAnsi="Times New Roman" w:cs="Times New Roman"/>
        </w:rPr>
        <w:t>rtir des années 1990, il était hautement improbable</w:t>
      </w:r>
      <w:r w:rsidR="009B4227">
        <w:rPr>
          <w:rFonts w:ascii="Times New Roman" w:eastAsia="Times New Roman" w:hAnsi="Times New Roman" w:cs="Times New Roman"/>
        </w:rPr>
        <w:t xml:space="preserve"> qu’un État </w:t>
      </w:r>
      <w:r w:rsidR="006461B8">
        <w:rPr>
          <w:rFonts w:ascii="Times New Roman" w:eastAsia="Times New Roman" w:hAnsi="Times New Roman" w:cs="Times New Roman"/>
        </w:rPr>
        <w:t>ignore que la signature d’</w:t>
      </w:r>
      <w:r w:rsidR="009B4227">
        <w:rPr>
          <w:rFonts w:ascii="Times New Roman" w:eastAsia="Times New Roman" w:hAnsi="Times New Roman" w:cs="Times New Roman"/>
        </w:rPr>
        <w:t>un traité bilat</w:t>
      </w:r>
      <w:r w:rsidR="00A85CE0">
        <w:rPr>
          <w:rFonts w:ascii="Times New Roman" w:eastAsia="Times New Roman" w:hAnsi="Times New Roman" w:cs="Times New Roman"/>
        </w:rPr>
        <w:t>éral d’investissement comporte</w:t>
      </w:r>
      <w:r w:rsidR="009B4227">
        <w:rPr>
          <w:rFonts w:ascii="Times New Roman" w:eastAsia="Times New Roman" w:hAnsi="Times New Roman" w:cs="Times New Roman"/>
        </w:rPr>
        <w:t xml:space="preserve"> plusieurs risques (2015 : 36). Le titre de l’article de 1998 de Guzman renforce d’ailleurs </w:t>
      </w:r>
      <w:r w:rsidR="00F01C83">
        <w:rPr>
          <w:rFonts w:ascii="Times New Roman" w:eastAsia="Times New Roman" w:hAnsi="Times New Roman" w:cs="Times New Roman"/>
        </w:rPr>
        <w:t>cette affirmation</w:t>
      </w:r>
      <w:r w:rsidR="009B4227">
        <w:rPr>
          <w:rFonts w:ascii="Times New Roman" w:eastAsia="Times New Roman" w:hAnsi="Times New Roman" w:cs="Times New Roman"/>
        </w:rPr>
        <w:t xml:space="preserve"> : </w:t>
      </w:r>
      <w:proofErr w:type="spellStart"/>
      <w:r w:rsidR="009B4227">
        <w:rPr>
          <w:rFonts w:ascii="Times New Roman" w:eastAsia="Times New Roman" w:hAnsi="Times New Roman" w:cs="Times New Roman"/>
          <w:i/>
        </w:rPr>
        <w:t>Why</w:t>
      </w:r>
      <w:proofErr w:type="spellEnd"/>
      <w:r w:rsidR="009B4227">
        <w:rPr>
          <w:rFonts w:ascii="Times New Roman" w:eastAsia="Times New Roman" w:hAnsi="Times New Roman" w:cs="Times New Roman"/>
          <w:i/>
        </w:rPr>
        <w:t xml:space="preserve"> </w:t>
      </w:r>
      <w:proofErr w:type="spellStart"/>
      <w:r w:rsidR="009B4227">
        <w:rPr>
          <w:rFonts w:ascii="Times New Roman" w:eastAsia="Times New Roman" w:hAnsi="Times New Roman" w:cs="Times New Roman"/>
          <w:i/>
        </w:rPr>
        <w:t>LDCs</w:t>
      </w:r>
      <w:proofErr w:type="spellEnd"/>
      <w:r w:rsidR="009B4227">
        <w:rPr>
          <w:rFonts w:ascii="Times New Roman" w:eastAsia="Times New Roman" w:hAnsi="Times New Roman" w:cs="Times New Roman"/>
          <w:i/>
        </w:rPr>
        <w:t xml:space="preserve"> </w:t>
      </w:r>
      <w:proofErr w:type="spellStart"/>
      <w:r w:rsidR="009B4227">
        <w:rPr>
          <w:rFonts w:ascii="Times New Roman" w:eastAsia="Times New Roman" w:hAnsi="Times New Roman" w:cs="Times New Roman"/>
          <w:i/>
        </w:rPr>
        <w:t>Sign</w:t>
      </w:r>
      <w:proofErr w:type="spellEnd"/>
      <w:r w:rsidR="009B4227">
        <w:rPr>
          <w:rFonts w:ascii="Times New Roman" w:eastAsia="Times New Roman" w:hAnsi="Times New Roman" w:cs="Times New Roman"/>
          <w:i/>
        </w:rPr>
        <w:t xml:space="preserve"> </w:t>
      </w:r>
      <w:proofErr w:type="spellStart"/>
      <w:r w:rsidR="009B4227">
        <w:rPr>
          <w:rFonts w:ascii="Times New Roman" w:eastAsia="Times New Roman" w:hAnsi="Times New Roman" w:cs="Times New Roman"/>
          <w:i/>
        </w:rPr>
        <w:t>Treaties</w:t>
      </w:r>
      <w:proofErr w:type="spellEnd"/>
      <w:r w:rsidR="009B4227">
        <w:rPr>
          <w:rFonts w:ascii="Times New Roman" w:eastAsia="Times New Roman" w:hAnsi="Times New Roman" w:cs="Times New Roman"/>
          <w:i/>
        </w:rPr>
        <w:t xml:space="preserve"> That </w:t>
      </w:r>
      <w:proofErr w:type="spellStart"/>
      <w:r w:rsidR="009B4227">
        <w:rPr>
          <w:rFonts w:ascii="Times New Roman" w:eastAsia="Times New Roman" w:hAnsi="Times New Roman" w:cs="Times New Roman"/>
          <w:i/>
        </w:rPr>
        <w:t>Hurt</w:t>
      </w:r>
      <w:proofErr w:type="spellEnd"/>
      <w:r w:rsidR="009B4227">
        <w:rPr>
          <w:rFonts w:ascii="Times New Roman" w:eastAsia="Times New Roman" w:hAnsi="Times New Roman" w:cs="Times New Roman"/>
          <w:i/>
        </w:rPr>
        <w:t xml:space="preserve"> </w:t>
      </w:r>
      <w:proofErr w:type="spellStart"/>
      <w:r w:rsidR="009B4227">
        <w:rPr>
          <w:rFonts w:ascii="Times New Roman" w:eastAsia="Times New Roman" w:hAnsi="Times New Roman" w:cs="Times New Roman"/>
          <w:i/>
        </w:rPr>
        <w:t>Them</w:t>
      </w:r>
      <w:proofErr w:type="spellEnd"/>
      <w:r w:rsidR="009B4227">
        <w:rPr>
          <w:rFonts w:ascii="Times New Roman" w:eastAsia="Times New Roman" w:hAnsi="Times New Roman" w:cs="Times New Roman"/>
          <w:i/>
        </w:rPr>
        <w:t xml:space="preserve">: </w:t>
      </w:r>
      <w:proofErr w:type="spellStart"/>
      <w:r w:rsidR="009B4227">
        <w:rPr>
          <w:rFonts w:ascii="Times New Roman" w:eastAsia="Times New Roman" w:hAnsi="Times New Roman" w:cs="Times New Roman"/>
          <w:i/>
        </w:rPr>
        <w:t>Explaining</w:t>
      </w:r>
      <w:proofErr w:type="spellEnd"/>
      <w:r w:rsidR="009B4227">
        <w:rPr>
          <w:rFonts w:ascii="Times New Roman" w:eastAsia="Times New Roman" w:hAnsi="Times New Roman" w:cs="Times New Roman"/>
          <w:i/>
        </w:rPr>
        <w:t xml:space="preserve"> the </w:t>
      </w:r>
      <w:proofErr w:type="spellStart"/>
      <w:r w:rsidR="009B4227">
        <w:rPr>
          <w:rFonts w:ascii="Times New Roman" w:eastAsia="Times New Roman" w:hAnsi="Times New Roman" w:cs="Times New Roman"/>
          <w:i/>
        </w:rPr>
        <w:t>Popularity</w:t>
      </w:r>
      <w:proofErr w:type="spellEnd"/>
      <w:r w:rsidR="009B4227">
        <w:rPr>
          <w:rFonts w:ascii="Times New Roman" w:eastAsia="Times New Roman" w:hAnsi="Times New Roman" w:cs="Times New Roman"/>
          <w:i/>
        </w:rPr>
        <w:t xml:space="preserve"> of </w:t>
      </w:r>
      <w:proofErr w:type="spellStart"/>
      <w:r w:rsidR="009B4227">
        <w:rPr>
          <w:rFonts w:ascii="Times New Roman" w:eastAsia="Times New Roman" w:hAnsi="Times New Roman" w:cs="Times New Roman"/>
          <w:i/>
        </w:rPr>
        <w:t>Bilateral</w:t>
      </w:r>
      <w:proofErr w:type="spellEnd"/>
      <w:r w:rsidR="009B4227">
        <w:rPr>
          <w:rFonts w:ascii="Times New Roman" w:eastAsia="Times New Roman" w:hAnsi="Times New Roman" w:cs="Times New Roman"/>
          <w:i/>
        </w:rPr>
        <w:t xml:space="preserve"> </w:t>
      </w:r>
      <w:proofErr w:type="spellStart"/>
      <w:r w:rsidR="009B4227">
        <w:rPr>
          <w:rFonts w:ascii="Times New Roman" w:eastAsia="Times New Roman" w:hAnsi="Times New Roman" w:cs="Times New Roman"/>
          <w:i/>
        </w:rPr>
        <w:t>Investment</w:t>
      </w:r>
      <w:proofErr w:type="spellEnd"/>
      <w:r w:rsidR="009B4227">
        <w:rPr>
          <w:rFonts w:ascii="Times New Roman" w:eastAsia="Times New Roman" w:hAnsi="Times New Roman" w:cs="Times New Roman"/>
          <w:i/>
        </w:rPr>
        <w:t xml:space="preserve"> </w:t>
      </w:r>
      <w:proofErr w:type="spellStart"/>
      <w:r w:rsidR="009B4227">
        <w:rPr>
          <w:rFonts w:ascii="Times New Roman" w:eastAsia="Times New Roman" w:hAnsi="Times New Roman" w:cs="Times New Roman"/>
          <w:i/>
        </w:rPr>
        <w:t>Treatie</w:t>
      </w:r>
      <w:r w:rsidR="00DA710F">
        <w:rPr>
          <w:rFonts w:ascii="Times New Roman" w:eastAsia="Times New Roman" w:hAnsi="Times New Roman" w:cs="Times New Roman"/>
          <w:i/>
        </w:rPr>
        <w:t>s</w:t>
      </w:r>
      <w:proofErr w:type="spellEnd"/>
      <w:r w:rsidR="00DA710F">
        <w:rPr>
          <w:rFonts w:ascii="Times New Roman" w:eastAsia="Times New Roman" w:hAnsi="Times New Roman" w:cs="Times New Roman"/>
          <w:i/>
        </w:rPr>
        <w:t xml:space="preserve">. </w:t>
      </w:r>
      <w:r w:rsidR="00F70371">
        <w:rPr>
          <w:rFonts w:ascii="Times New Roman" w:eastAsia="Times New Roman" w:hAnsi="Times New Roman" w:cs="Times New Roman"/>
        </w:rPr>
        <w:t xml:space="preserve">Pourtant, </w:t>
      </w:r>
      <w:proofErr w:type="spellStart"/>
      <w:r w:rsidR="00F01C83">
        <w:rPr>
          <w:rFonts w:ascii="Times New Roman" w:eastAsia="Times New Roman" w:hAnsi="Times New Roman" w:cs="Times New Roman"/>
        </w:rPr>
        <w:t>P</w:t>
      </w:r>
      <w:r w:rsidR="00F70371">
        <w:rPr>
          <w:rFonts w:ascii="Times New Roman" w:eastAsia="Times New Roman" w:hAnsi="Times New Roman" w:cs="Times New Roman"/>
        </w:rPr>
        <w:t>oulsen</w:t>
      </w:r>
      <w:proofErr w:type="spellEnd"/>
      <w:r w:rsidR="00F70371">
        <w:rPr>
          <w:rFonts w:ascii="Times New Roman" w:eastAsia="Times New Roman" w:hAnsi="Times New Roman" w:cs="Times New Roman"/>
        </w:rPr>
        <w:t xml:space="preserve"> et </w:t>
      </w:r>
      <w:proofErr w:type="spellStart"/>
      <w:r w:rsidR="00F70371">
        <w:rPr>
          <w:rFonts w:ascii="Times New Roman" w:eastAsia="Times New Roman" w:hAnsi="Times New Roman" w:cs="Times New Roman"/>
        </w:rPr>
        <w:t>Aisbett</w:t>
      </w:r>
      <w:proofErr w:type="spellEnd"/>
      <w:r w:rsidR="00F70371">
        <w:rPr>
          <w:rFonts w:ascii="Times New Roman" w:eastAsia="Times New Roman" w:hAnsi="Times New Roman" w:cs="Times New Roman"/>
        </w:rPr>
        <w:t xml:space="preserve"> démontrent que le dépôt d’une plainte par un investisseur envers un État dans la même région qu’un autre État n’a que très peu d’influence sur la décision de ce dernier de </w:t>
      </w:r>
      <w:r w:rsidR="006461B8">
        <w:rPr>
          <w:rFonts w:ascii="Times New Roman" w:eastAsia="Times New Roman" w:hAnsi="Times New Roman" w:cs="Times New Roman"/>
        </w:rPr>
        <w:t>conclure</w:t>
      </w:r>
      <w:r w:rsidR="00F70371">
        <w:rPr>
          <w:rFonts w:ascii="Times New Roman" w:eastAsia="Times New Roman" w:hAnsi="Times New Roman" w:cs="Times New Roman"/>
        </w:rPr>
        <w:t xml:space="preserve"> ou non des traités bilatéraux d’investissement (2013). Ce n’est en fait </w:t>
      </w:r>
      <w:r w:rsidR="00F01C83">
        <w:rPr>
          <w:rFonts w:ascii="Times New Roman" w:eastAsia="Times New Roman" w:hAnsi="Times New Roman" w:cs="Times New Roman"/>
        </w:rPr>
        <w:t>qu’une fois qu’</w:t>
      </w:r>
      <w:r w:rsidR="00F70371">
        <w:rPr>
          <w:rFonts w:ascii="Times New Roman" w:eastAsia="Times New Roman" w:hAnsi="Times New Roman" w:cs="Times New Roman"/>
        </w:rPr>
        <w:t xml:space="preserve">il a lui-même été </w:t>
      </w:r>
      <w:r w:rsidR="006461B8">
        <w:rPr>
          <w:rFonts w:ascii="Times New Roman" w:eastAsia="Times New Roman" w:hAnsi="Times New Roman" w:cs="Times New Roman"/>
        </w:rPr>
        <w:t>l’objet</w:t>
      </w:r>
      <w:r w:rsidR="00F01C83">
        <w:rPr>
          <w:rFonts w:ascii="Times New Roman" w:eastAsia="Times New Roman" w:hAnsi="Times New Roman" w:cs="Times New Roman"/>
        </w:rPr>
        <w:t xml:space="preserve"> </w:t>
      </w:r>
      <w:r w:rsidR="006461B8">
        <w:rPr>
          <w:rFonts w:ascii="Times New Roman" w:eastAsia="Times New Roman" w:hAnsi="Times New Roman" w:cs="Times New Roman"/>
        </w:rPr>
        <w:t>d’</w:t>
      </w:r>
      <w:r w:rsidR="00F01C83">
        <w:rPr>
          <w:rFonts w:ascii="Times New Roman" w:eastAsia="Times New Roman" w:hAnsi="Times New Roman" w:cs="Times New Roman"/>
        </w:rPr>
        <w:t>une plain</w:t>
      </w:r>
      <w:r w:rsidR="006461B8">
        <w:rPr>
          <w:rFonts w:ascii="Times New Roman" w:eastAsia="Times New Roman" w:hAnsi="Times New Roman" w:cs="Times New Roman"/>
        </w:rPr>
        <w:t>t</w:t>
      </w:r>
      <w:r w:rsidR="00F01C83">
        <w:rPr>
          <w:rFonts w:ascii="Times New Roman" w:eastAsia="Times New Roman" w:hAnsi="Times New Roman" w:cs="Times New Roman"/>
        </w:rPr>
        <w:t xml:space="preserve">e qu’il </w:t>
      </w:r>
      <w:r w:rsidR="00F70371">
        <w:rPr>
          <w:rFonts w:ascii="Times New Roman" w:eastAsia="Times New Roman" w:hAnsi="Times New Roman" w:cs="Times New Roman"/>
        </w:rPr>
        <w:t>prend finalement compte des conséquences de ces traités et qu’il</w:t>
      </w:r>
      <w:r w:rsidR="004E5678">
        <w:rPr>
          <w:rFonts w:ascii="Times New Roman" w:eastAsia="Times New Roman" w:hAnsi="Times New Roman" w:cs="Times New Roman"/>
        </w:rPr>
        <w:t xml:space="preserve"> modifie sa politique (</w:t>
      </w:r>
      <w:proofErr w:type="spellStart"/>
      <w:r w:rsidR="004E5678">
        <w:rPr>
          <w:rFonts w:ascii="Times New Roman" w:eastAsia="Times New Roman" w:hAnsi="Times New Roman" w:cs="Times New Roman"/>
        </w:rPr>
        <w:t>Poulsen</w:t>
      </w:r>
      <w:proofErr w:type="spellEnd"/>
      <w:r w:rsidR="004E5678">
        <w:rPr>
          <w:rFonts w:ascii="Times New Roman" w:eastAsia="Times New Roman" w:hAnsi="Times New Roman" w:cs="Times New Roman"/>
        </w:rPr>
        <w:t xml:space="preserve"> et </w:t>
      </w:r>
      <w:proofErr w:type="spellStart"/>
      <w:r w:rsidR="004E5678">
        <w:rPr>
          <w:rFonts w:ascii="Times New Roman" w:eastAsia="Times New Roman" w:hAnsi="Times New Roman" w:cs="Times New Roman"/>
        </w:rPr>
        <w:t>Aisbett</w:t>
      </w:r>
      <w:proofErr w:type="spellEnd"/>
      <w:r w:rsidR="004E5678">
        <w:rPr>
          <w:rFonts w:ascii="Times New Roman" w:eastAsia="Times New Roman" w:hAnsi="Times New Roman" w:cs="Times New Roman"/>
        </w:rPr>
        <w:t xml:space="preserve"> 2013; </w:t>
      </w:r>
      <w:proofErr w:type="spellStart"/>
      <w:r w:rsidR="004E5678">
        <w:rPr>
          <w:rFonts w:ascii="Times New Roman" w:eastAsia="Times New Roman" w:hAnsi="Times New Roman" w:cs="Times New Roman"/>
        </w:rPr>
        <w:t>Poulsen</w:t>
      </w:r>
      <w:proofErr w:type="spellEnd"/>
      <w:r w:rsidR="00F70371">
        <w:rPr>
          <w:rFonts w:ascii="Times New Roman" w:eastAsia="Times New Roman" w:hAnsi="Times New Roman" w:cs="Times New Roman"/>
        </w:rPr>
        <w:t xml:space="preserve"> 2014). </w:t>
      </w:r>
      <w:r w:rsidR="0006623D">
        <w:rPr>
          <w:rFonts w:ascii="Times New Roman" w:eastAsia="Times New Roman" w:hAnsi="Times New Roman" w:cs="Times New Roman"/>
        </w:rPr>
        <w:t>L</w:t>
      </w:r>
      <w:r w:rsidR="006461B8">
        <w:rPr>
          <w:rFonts w:ascii="Times New Roman" w:eastAsia="Times New Roman" w:hAnsi="Times New Roman" w:cs="Times New Roman"/>
        </w:rPr>
        <w:t xml:space="preserve">e </w:t>
      </w:r>
      <w:r w:rsidR="0006623D">
        <w:rPr>
          <w:rFonts w:ascii="Times New Roman" w:eastAsia="Times New Roman" w:hAnsi="Times New Roman" w:cs="Times New Roman"/>
        </w:rPr>
        <w:t xml:space="preserve">spécialiste du droit international des investissements Christoph </w:t>
      </w:r>
      <w:proofErr w:type="spellStart"/>
      <w:r w:rsidR="0006623D">
        <w:rPr>
          <w:rFonts w:ascii="Times New Roman" w:eastAsia="Times New Roman" w:hAnsi="Times New Roman" w:cs="Times New Roman"/>
        </w:rPr>
        <w:t>Schreuer</w:t>
      </w:r>
      <w:proofErr w:type="spellEnd"/>
      <w:r w:rsidR="0006623D">
        <w:rPr>
          <w:rFonts w:ascii="Times New Roman" w:eastAsia="Times New Roman" w:hAnsi="Times New Roman" w:cs="Times New Roman"/>
        </w:rPr>
        <w:t xml:space="preserve"> soulignait d’ailleurs qu’il avait entendu plusieurs représentants de l’Argentine affirmer au cours de l’affaire </w:t>
      </w:r>
      <w:proofErr w:type="spellStart"/>
      <w:r w:rsidR="0006623D">
        <w:rPr>
          <w:rFonts w:ascii="Times New Roman" w:eastAsia="Times New Roman" w:hAnsi="Times New Roman" w:cs="Times New Roman"/>
          <w:i/>
        </w:rPr>
        <w:t>Wintershall</w:t>
      </w:r>
      <w:proofErr w:type="spellEnd"/>
      <w:r w:rsidR="0006623D">
        <w:rPr>
          <w:rFonts w:ascii="Times New Roman" w:eastAsia="Times New Roman" w:hAnsi="Times New Roman" w:cs="Times New Roman"/>
          <w:i/>
        </w:rPr>
        <w:t xml:space="preserve"> v. Argentina </w:t>
      </w:r>
      <w:r w:rsidR="0006623D">
        <w:rPr>
          <w:rFonts w:ascii="Times New Roman" w:eastAsia="Times New Roman" w:hAnsi="Times New Roman" w:cs="Times New Roman"/>
        </w:rPr>
        <w:t>qu’il</w:t>
      </w:r>
      <w:r w:rsidR="00A85CE0">
        <w:rPr>
          <w:rFonts w:ascii="Times New Roman" w:eastAsia="Times New Roman" w:hAnsi="Times New Roman" w:cs="Times New Roman"/>
        </w:rPr>
        <w:t>s</w:t>
      </w:r>
      <w:r w:rsidR="0006623D">
        <w:rPr>
          <w:rFonts w:ascii="Times New Roman" w:eastAsia="Times New Roman" w:hAnsi="Times New Roman" w:cs="Times New Roman"/>
        </w:rPr>
        <w:t xml:space="preserve"> ne pensai</w:t>
      </w:r>
      <w:r w:rsidR="00A85CE0">
        <w:rPr>
          <w:rFonts w:ascii="Times New Roman" w:eastAsia="Times New Roman" w:hAnsi="Times New Roman" w:cs="Times New Roman"/>
        </w:rPr>
        <w:t xml:space="preserve">ent pas qu’un traité bilatéral d’investissement avait un réel </w:t>
      </w:r>
      <w:r w:rsidR="0006623D">
        <w:rPr>
          <w:rFonts w:ascii="Times New Roman" w:eastAsia="Times New Roman" w:hAnsi="Times New Roman" w:cs="Times New Roman"/>
        </w:rPr>
        <w:t>impact : «</w:t>
      </w:r>
      <w:proofErr w:type="spellStart"/>
      <w:r w:rsidR="0006623D">
        <w:rPr>
          <w:rFonts w:ascii="Times New Roman" w:eastAsia="Times New Roman" w:hAnsi="Times New Roman" w:cs="Times New Roman"/>
        </w:rPr>
        <w:t>We</w:t>
      </w:r>
      <w:proofErr w:type="spellEnd"/>
      <w:r w:rsidR="0006623D">
        <w:rPr>
          <w:rFonts w:ascii="Times New Roman" w:eastAsia="Times New Roman" w:hAnsi="Times New Roman" w:cs="Times New Roman"/>
        </w:rPr>
        <w:t xml:space="preserve"> </w:t>
      </w:r>
      <w:proofErr w:type="spellStart"/>
      <w:r w:rsidR="0006623D">
        <w:rPr>
          <w:rFonts w:ascii="Times New Roman" w:eastAsia="Times New Roman" w:hAnsi="Times New Roman" w:cs="Times New Roman"/>
        </w:rPr>
        <w:t>had</w:t>
      </w:r>
      <w:proofErr w:type="spellEnd"/>
      <w:r w:rsidR="0006623D">
        <w:rPr>
          <w:rFonts w:ascii="Times New Roman" w:eastAsia="Times New Roman" w:hAnsi="Times New Roman" w:cs="Times New Roman"/>
        </w:rPr>
        <w:t xml:space="preserve"> no </w:t>
      </w:r>
      <w:proofErr w:type="spellStart"/>
      <w:r w:rsidR="0006623D">
        <w:rPr>
          <w:rFonts w:ascii="Times New Roman" w:eastAsia="Times New Roman" w:hAnsi="Times New Roman" w:cs="Times New Roman"/>
        </w:rPr>
        <w:t>idea</w:t>
      </w:r>
      <w:proofErr w:type="spellEnd"/>
      <w:r w:rsidR="0006623D">
        <w:rPr>
          <w:rFonts w:ascii="Times New Roman" w:eastAsia="Times New Roman" w:hAnsi="Times New Roman" w:cs="Times New Roman"/>
        </w:rPr>
        <w:t xml:space="preserve"> </w:t>
      </w:r>
      <w:proofErr w:type="spellStart"/>
      <w:r w:rsidR="0006623D">
        <w:rPr>
          <w:rFonts w:ascii="Times New Roman" w:eastAsia="Times New Roman" w:hAnsi="Times New Roman" w:cs="Times New Roman"/>
        </w:rPr>
        <w:t>that</w:t>
      </w:r>
      <w:proofErr w:type="spellEnd"/>
      <w:r w:rsidR="0006623D">
        <w:rPr>
          <w:rFonts w:ascii="Times New Roman" w:eastAsia="Times New Roman" w:hAnsi="Times New Roman" w:cs="Times New Roman"/>
        </w:rPr>
        <w:t xml:space="preserve"> </w:t>
      </w:r>
      <w:proofErr w:type="spellStart"/>
      <w:r w:rsidR="0006623D">
        <w:rPr>
          <w:rFonts w:ascii="Times New Roman" w:eastAsia="Times New Roman" w:hAnsi="Times New Roman" w:cs="Times New Roman"/>
        </w:rPr>
        <w:t>this</w:t>
      </w:r>
      <w:proofErr w:type="spellEnd"/>
      <w:r w:rsidR="008D5244">
        <w:rPr>
          <w:rFonts w:ascii="Times New Roman" w:eastAsia="Times New Roman" w:hAnsi="Times New Roman" w:cs="Times New Roman"/>
        </w:rPr>
        <w:t xml:space="preserve"> </w:t>
      </w:r>
      <w:proofErr w:type="spellStart"/>
      <w:r w:rsidR="0006623D" w:rsidRPr="0006623D">
        <w:rPr>
          <w:rFonts w:ascii="Times New Roman" w:eastAsia="Times New Roman" w:hAnsi="Times New Roman" w:cs="Times New Roman"/>
        </w:rPr>
        <w:t>would</w:t>
      </w:r>
      <w:proofErr w:type="spellEnd"/>
      <w:r w:rsidR="0006623D" w:rsidRPr="0006623D">
        <w:rPr>
          <w:rFonts w:ascii="Times New Roman" w:eastAsia="Times New Roman" w:hAnsi="Times New Roman" w:cs="Times New Roman"/>
        </w:rPr>
        <w:t xml:space="preserve"> have real </w:t>
      </w:r>
      <w:proofErr w:type="spellStart"/>
      <w:r w:rsidR="0006623D">
        <w:rPr>
          <w:rFonts w:ascii="Times New Roman" w:eastAsia="Times New Roman" w:hAnsi="Times New Roman" w:cs="Times New Roman"/>
        </w:rPr>
        <w:t>consequence</w:t>
      </w:r>
      <w:r w:rsidR="004E5678">
        <w:rPr>
          <w:rFonts w:ascii="Times New Roman" w:eastAsia="Times New Roman" w:hAnsi="Times New Roman" w:cs="Times New Roman"/>
        </w:rPr>
        <w:t>s</w:t>
      </w:r>
      <w:proofErr w:type="spellEnd"/>
      <w:r w:rsidR="004E5678">
        <w:rPr>
          <w:rFonts w:ascii="Times New Roman" w:eastAsia="Times New Roman" w:hAnsi="Times New Roman" w:cs="Times New Roman"/>
        </w:rPr>
        <w:t xml:space="preserve"> in the real world » (cité dans </w:t>
      </w:r>
      <w:proofErr w:type="spellStart"/>
      <w:r w:rsidR="004E5678">
        <w:rPr>
          <w:rFonts w:ascii="Times New Roman" w:eastAsia="Times New Roman" w:hAnsi="Times New Roman" w:cs="Times New Roman"/>
        </w:rPr>
        <w:t>Poulsen</w:t>
      </w:r>
      <w:proofErr w:type="spellEnd"/>
      <w:r w:rsidR="004E5678">
        <w:rPr>
          <w:rFonts w:ascii="Times New Roman" w:eastAsia="Times New Roman" w:hAnsi="Times New Roman" w:cs="Times New Roman"/>
        </w:rPr>
        <w:t xml:space="preserve"> et </w:t>
      </w:r>
      <w:proofErr w:type="spellStart"/>
      <w:r w:rsidR="004E5678">
        <w:rPr>
          <w:rFonts w:ascii="Times New Roman" w:eastAsia="Times New Roman" w:hAnsi="Times New Roman" w:cs="Times New Roman"/>
        </w:rPr>
        <w:t>Aisbett</w:t>
      </w:r>
      <w:proofErr w:type="spellEnd"/>
      <w:r w:rsidR="0006623D">
        <w:rPr>
          <w:rFonts w:ascii="Times New Roman" w:eastAsia="Times New Roman" w:hAnsi="Times New Roman" w:cs="Times New Roman"/>
        </w:rPr>
        <w:t xml:space="preserve"> 2013 : 284). </w:t>
      </w:r>
      <w:r w:rsidR="00F70371">
        <w:rPr>
          <w:rFonts w:ascii="Times New Roman" w:eastAsia="Times New Roman" w:hAnsi="Times New Roman" w:cs="Times New Roman"/>
        </w:rPr>
        <w:t xml:space="preserve">Cela démontre donc encore une fois qu’il est </w:t>
      </w:r>
      <w:r w:rsidR="007C054B">
        <w:rPr>
          <w:rFonts w:ascii="Times New Roman" w:eastAsia="Times New Roman" w:hAnsi="Times New Roman" w:cs="Times New Roman"/>
        </w:rPr>
        <w:t>douteux</w:t>
      </w:r>
      <w:r w:rsidR="00F70371">
        <w:rPr>
          <w:rFonts w:ascii="Times New Roman" w:eastAsia="Times New Roman" w:hAnsi="Times New Roman" w:cs="Times New Roman"/>
        </w:rPr>
        <w:t xml:space="preserve"> que les agents des États </w:t>
      </w:r>
      <w:r w:rsidR="006461B8">
        <w:rPr>
          <w:rFonts w:ascii="Times New Roman" w:eastAsia="Times New Roman" w:hAnsi="Times New Roman" w:cs="Times New Roman"/>
        </w:rPr>
        <w:t>adoptent une attitude purement rationnelle</w:t>
      </w:r>
      <w:r w:rsidR="00F70371">
        <w:rPr>
          <w:rFonts w:ascii="Times New Roman" w:eastAsia="Times New Roman" w:hAnsi="Times New Roman" w:cs="Times New Roman"/>
        </w:rPr>
        <w:t>.</w:t>
      </w:r>
    </w:p>
    <w:p w14:paraId="75FC5F64" w14:textId="5FD6B9FA" w:rsidR="007A5D0F" w:rsidRDefault="00F70371"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Il semble ainsi plus juste de considérer que les </w:t>
      </w:r>
      <w:r w:rsidR="00635522">
        <w:rPr>
          <w:rFonts w:ascii="Times New Roman" w:eastAsia="Times New Roman" w:hAnsi="Times New Roman" w:cs="Times New Roman"/>
        </w:rPr>
        <w:t>acteurs</w:t>
      </w:r>
      <w:r>
        <w:rPr>
          <w:rFonts w:ascii="Times New Roman" w:eastAsia="Times New Roman" w:hAnsi="Times New Roman" w:cs="Times New Roman"/>
        </w:rPr>
        <w:t xml:space="preserve"> au sein du </w:t>
      </w:r>
      <w:r w:rsidR="008E6228">
        <w:rPr>
          <w:rFonts w:ascii="Times New Roman" w:eastAsia="Times New Roman" w:hAnsi="Times New Roman" w:cs="Times New Roman"/>
        </w:rPr>
        <w:t xml:space="preserve">régime des investissements </w:t>
      </w:r>
      <w:r w:rsidR="006461B8">
        <w:rPr>
          <w:rFonts w:ascii="Times New Roman" w:eastAsia="Times New Roman" w:hAnsi="Times New Roman" w:cs="Times New Roman"/>
        </w:rPr>
        <w:t>adoptent</w:t>
      </w:r>
      <w:r>
        <w:rPr>
          <w:rFonts w:ascii="Times New Roman" w:eastAsia="Times New Roman" w:hAnsi="Times New Roman" w:cs="Times New Roman"/>
        </w:rPr>
        <w:t xml:space="preserve"> une rationalité limitée. Tr</w:t>
      </w:r>
      <w:r w:rsidR="00B91835">
        <w:rPr>
          <w:rFonts w:ascii="Times New Roman" w:eastAsia="Times New Roman" w:hAnsi="Times New Roman" w:cs="Times New Roman"/>
        </w:rPr>
        <w:t xml:space="preserve">ois biais cognitifs peuvent </w:t>
      </w:r>
      <w:r>
        <w:rPr>
          <w:rFonts w:ascii="Times New Roman" w:eastAsia="Times New Roman" w:hAnsi="Times New Roman" w:cs="Times New Roman"/>
        </w:rPr>
        <w:t>alors</w:t>
      </w:r>
      <w:r w:rsidR="008E6228">
        <w:rPr>
          <w:rFonts w:ascii="Times New Roman" w:eastAsia="Times New Roman" w:hAnsi="Times New Roman" w:cs="Times New Roman"/>
        </w:rPr>
        <w:t xml:space="preserve"> leur être attribués</w:t>
      </w:r>
      <w:r w:rsidR="00B91835">
        <w:rPr>
          <w:rFonts w:ascii="Times New Roman" w:eastAsia="Times New Roman" w:hAnsi="Times New Roman" w:cs="Times New Roman"/>
        </w:rPr>
        <w:t xml:space="preserve">. </w:t>
      </w:r>
      <w:r w:rsidR="00635522">
        <w:rPr>
          <w:rFonts w:ascii="Times New Roman" w:eastAsia="Times New Roman" w:hAnsi="Times New Roman" w:cs="Times New Roman"/>
        </w:rPr>
        <w:t xml:space="preserve">Il y a tout d’abord la tendance des acteurs d’être particulièrement sceptiques envers les évidences contraires </w:t>
      </w:r>
      <w:r w:rsidR="008E6228">
        <w:rPr>
          <w:rFonts w:ascii="Times New Roman" w:eastAsia="Times New Roman" w:hAnsi="Times New Roman" w:cs="Times New Roman"/>
        </w:rPr>
        <w:t xml:space="preserve">à leurs préférences </w:t>
      </w:r>
      <w:r w:rsidR="00635522">
        <w:rPr>
          <w:rFonts w:ascii="Times New Roman" w:eastAsia="Times New Roman" w:hAnsi="Times New Roman" w:cs="Times New Roman"/>
        </w:rPr>
        <w:t>ou particulièrement favorables envers celles</w:t>
      </w:r>
      <w:r w:rsidR="006461B8">
        <w:rPr>
          <w:rFonts w:ascii="Times New Roman" w:eastAsia="Times New Roman" w:hAnsi="Times New Roman" w:cs="Times New Roman"/>
        </w:rPr>
        <w:t xml:space="preserve"> qui leur</w:t>
      </w:r>
      <w:r w:rsidR="006E089F">
        <w:rPr>
          <w:rFonts w:ascii="Times New Roman" w:eastAsia="Times New Roman" w:hAnsi="Times New Roman" w:cs="Times New Roman"/>
        </w:rPr>
        <w:t xml:space="preserve"> sont</w:t>
      </w:r>
      <w:r w:rsidR="00635522">
        <w:rPr>
          <w:rFonts w:ascii="Times New Roman" w:eastAsia="Times New Roman" w:hAnsi="Times New Roman" w:cs="Times New Roman"/>
        </w:rPr>
        <w:t xml:space="preserve"> </w:t>
      </w:r>
      <w:r w:rsidR="006461B8">
        <w:rPr>
          <w:rFonts w:ascii="Times New Roman" w:eastAsia="Times New Roman" w:hAnsi="Times New Roman" w:cs="Times New Roman"/>
        </w:rPr>
        <w:t>connues</w:t>
      </w:r>
      <w:r w:rsidR="00635522">
        <w:rPr>
          <w:rFonts w:ascii="Times New Roman" w:eastAsia="Times New Roman" w:hAnsi="Times New Roman" w:cs="Times New Roman"/>
        </w:rPr>
        <w:t xml:space="preserve"> (</w:t>
      </w:r>
      <w:proofErr w:type="spellStart"/>
      <w:r w:rsidR="00635522">
        <w:rPr>
          <w:rFonts w:ascii="Times New Roman" w:eastAsia="Times New Roman" w:hAnsi="Times New Roman" w:cs="Times New Roman"/>
        </w:rPr>
        <w:t>Poul</w:t>
      </w:r>
      <w:r w:rsidR="00D43F31">
        <w:rPr>
          <w:rFonts w:ascii="Times New Roman" w:eastAsia="Times New Roman" w:hAnsi="Times New Roman" w:cs="Times New Roman"/>
        </w:rPr>
        <w:t>sen</w:t>
      </w:r>
      <w:proofErr w:type="spellEnd"/>
      <w:r w:rsidR="00635522">
        <w:rPr>
          <w:rFonts w:ascii="Times New Roman" w:eastAsia="Times New Roman" w:hAnsi="Times New Roman" w:cs="Times New Roman"/>
        </w:rPr>
        <w:t xml:space="preserve"> 2015 : 17). Les ac</w:t>
      </w:r>
      <w:r w:rsidR="008E6228">
        <w:rPr>
          <w:rFonts w:ascii="Times New Roman" w:eastAsia="Times New Roman" w:hAnsi="Times New Roman" w:cs="Times New Roman"/>
        </w:rPr>
        <w:t>teurs sont ensuite particulièrement influencés par les données et informations qui sont parti</w:t>
      </w:r>
      <w:r w:rsidR="00D43F31">
        <w:rPr>
          <w:rFonts w:ascii="Times New Roman" w:eastAsia="Times New Roman" w:hAnsi="Times New Roman" w:cs="Times New Roman"/>
        </w:rPr>
        <w:t>culièrement saillantes (</w:t>
      </w:r>
      <w:proofErr w:type="spellStart"/>
      <w:r w:rsidR="00D43F31">
        <w:rPr>
          <w:rFonts w:ascii="Times New Roman" w:eastAsia="Times New Roman" w:hAnsi="Times New Roman" w:cs="Times New Roman"/>
        </w:rPr>
        <w:t>Poulsen</w:t>
      </w:r>
      <w:proofErr w:type="spellEnd"/>
      <w:r w:rsidR="008E6228">
        <w:rPr>
          <w:rFonts w:ascii="Times New Roman" w:eastAsia="Times New Roman" w:hAnsi="Times New Roman" w:cs="Times New Roman"/>
        </w:rPr>
        <w:t xml:space="preserve"> 2015 : 18). Cela signifie qu’ils auront tendance à </w:t>
      </w:r>
      <w:r w:rsidR="008E6228">
        <w:rPr>
          <w:rFonts w:ascii="Times New Roman" w:eastAsia="Times New Roman" w:hAnsi="Times New Roman" w:cs="Times New Roman"/>
        </w:rPr>
        <w:lastRenderedPageBreak/>
        <w:t xml:space="preserve">oublier les informations pertinentes qui ne ressortent pas assez du lot. Finalement, les acteurs auront une tendance à favoriser le </w:t>
      </w:r>
      <w:r w:rsidR="006461B8">
        <w:rPr>
          <w:rFonts w:ascii="Times New Roman" w:eastAsia="Times New Roman" w:hAnsi="Times New Roman" w:cs="Times New Roman"/>
          <w:i/>
        </w:rPr>
        <w:t>statu</w:t>
      </w:r>
      <w:r w:rsidR="008E6228" w:rsidRPr="008E6228">
        <w:rPr>
          <w:rFonts w:ascii="Times New Roman" w:eastAsia="Times New Roman" w:hAnsi="Times New Roman" w:cs="Times New Roman"/>
          <w:i/>
        </w:rPr>
        <w:t xml:space="preserve"> quo</w:t>
      </w:r>
      <w:r w:rsidR="008E6228">
        <w:rPr>
          <w:rFonts w:ascii="Times New Roman" w:eastAsia="Times New Roman" w:hAnsi="Times New Roman" w:cs="Times New Roman"/>
          <w:i/>
        </w:rPr>
        <w:t xml:space="preserve"> </w:t>
      </w:r>
      <w:r w:rsidR="00D43F31">
        <w:rPr>
          <w:rFonts w:ascii="Times New Roman" w:eastAsia="Times New Roman" w:hAnsi="Times New Roman" w:cs="Times New Roman"/>
        </w:rPr>
        <w:t>(</w:t>
      </w:r>
      <w:proofErr w:type="spellStart"/>
      <w:r w:rsidR="00D43F31">
        <w:rPr>
          <w:rFonts w:ascii="Times New Roman" w:eastAsia="Times New Roman" w:hAnsi="Times New Roman" w:cs="Times New Roman"/>
        </w:rPr>
        <w:t>Poulsen</w:t>
      </w:r>
      <w:proofErr w:type="spellEnd"/>
      <w:r w:rsidR="008E6228">
        <w:rPr>
          <w:rFonts w:ascii="Times New Roman" w:eastAsia="Times New Roman" w:hAnsi="Times New Roman" w:cs="Times New Roman"/>
        </w:rPr>
        <w:t xml:space="preserve"> 2015 : 19). Ensemble, ces trois postulats de la rationalité limitée </w:t>
      </w:r>
      <w:r w:rsidR="00A80C1E">
        <w:rPr>
          <w:rFonts w:ascii="Times New Roman" w:eastAsia="Times New Roman" w:hAnsi="Times New Roman" w:cs="Times New Roman"/>
        </w:rPr>
        <w:t xml:space="preserve">se rapprochent plus de la réalité que ceux purement rationnels et </w:t>
      </w:r>
      <w:r w:rsidR="008E6228">
        <w:rPr>
          <w:rFonts w:ascii="Times New Roman" w:eastAsia="Times New Roman" w:hAnsi="Times New Roman" w:cs="Times New Roman"/>
        </w:rPr>
        <w:t>permettent de mieux explique</w:t>
      </w:r>
      <w:r w:rsidR="006461B8">
        <w:rPr>
          <w:rFonts w:ascii="Times New Roman" w:eastAsia="Times New Roman" w:hAnsi="Times New Roman" w:cs="Times New Roman"/>
        </w:rPr>
        <w:t>r</w:t>
      </w:r>
      <w:r w:rsidR="00A80C1E">
        <w:rPr>
          <w:rFonts w:ascii="Times New Roman" w:eastAsia="Times New Roman" w:hAnsi="Times New Roman" w:cs="Times New Roman"/>
        </w:rPr>
        <w:t xml:space="preserve"> </w:t>
      </w:r>
      <w:r w:rsidR="006461B8">
        <w:rPr>
          <w:rFonts w:ascii="Times New Roman" w:eastAsia="Times New Roman" w:hAnsi="Times New Roman" w:cs="Times New Roman"/>
        </w:rPr>
        <w:t xml:space="preserve">pourquoi les États ont signé </w:t>
      </w:r>
      <w:r w:rsidR="008E6228">
        <w:rPr>
          <w:rFonts w:ascii="Times New Roman" w:eastAsia="Times New Roman" w:hAnsi="Times New Roman" w:cs="Times New Roman"/>
        </w:rPr>
        <w:t>autant de traités bilatéraux d’investissement</w:t>
      </w:r>
      <w:r w:rsidR="006461B8">
        <w:rPr>
          <w:rFonts w:ascii="Times New Roman" w:eastAsia="Times New Roman" w:hAnsi="Times New Roman" w:cs="Times New Roman"/>
        </w:rPr>
        <w:t>.</w:t>
      </w:r>
    </w:p>
    <w:p w14:paraId="5C1E0C0C" w14:textId="3F2A4249" w:rsidR="00103AFE" w:rsidRPr="006A5780" w:rsidRDefault="00103AFE" w:rsidP="004F762A">
      <w:pPr>
        <w:pStyle w:val="Titre3"/>
        <w:rPr>
          <w:rFonts w:ascii="Times New Roman" w:hAnsi="Times New Roman" w:cs="Times New Roman"/>
          <w:b w:val="0"/>
          <w:i/>
          <w:color w:val="auto"/>
          <w:sz w:val="26"/>
          <w:szCs w:val="26"/>
        </w:rPr>
      </w:pPr>
      <w:bookmarkStart w:id="7" w:name="_Toc313471459"/>
      <w:r w:rsidRPr="006A5780">
        <w:rPr>
          <w:rFonts w:ascii="Times New Roman" w:hAnsi="Times New Roman" w:cs="Times New Roman"/>
          <w:b w:val="0"/>
          <w:i/>
          <w:color w:val="auto"/>
          <w:sz w:val="26"/>
          <w:szCs w:val="26"/>
        </w:rPr>
        <w:t>2.2.4 Une multiplicité d’acteurs avec un esprit de groupe</w:t>
      </w:r>
      <w:bookmarkEnd w:id="7"/>
    </w:p>
    <w:p w14:paraId="0A9E8E36" w14:textId="4BF213CE" w:rsidR="005B0839" w:rsidRDefault="0006623D"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Quatrièmement, </w:t>
      </w:r>
      <w:r w:rsidR="00316A9C">
        <w:rPr>
          <w:rFonts w:ascii="Times New Roman" w:eastAsia="Times New Roman" w:hAnsi="Times New Roman" w:cs="Times New Roman"/>
        </w:rPr>
        <w:t xml:space="preserve">contrairement à l’image d’un système international hétérogène, </w:t>
      </w:r>
      <w:r>
        <w:rPr>
          <w:rFonts w:ascii="Times New Roman" w:eastAsia="Times New Roman" w:hAnsi="Times New Roman" w:cs="Times New Roman"/>
        </w:rPr>
        <w:t>Alter et Meunier soutiennent q</w:t>
      </w:r>
      <w:r w:rsidR="00B96FF3">
        <w:rPr>
          <w:rFonts w:ascii="Times New Roman" w:eastAsia="Times New Roman" w:hAnsi="Times New Roman" w:cs="Times New Roman"/>
        </w:rPr>
        <w:t>ue la multiplication des institutions et des forums au sein d’un complexe favorise le développement d’un esprit de groupe (</w:t>
      </w:r>
      <w:proofErr w:type="spellStart"/>
      <w:r w:rsidR="00B96FF3">
        <w:rPr>
          <w:rFonts w:ascii="Times New Roman" w:eastAsia="Times New Roman" w:hAnsi="Times New Roman" w:cs="Times New Roman"/>
          <w:i/>
        </w:rPr>
        <w:t>small</w:t>
      </w:r>
      <w:proofErr w:type="spellEnd"/>
      <w:r w:rsidR="00B96FF3">
        <w:rPr>
          <w:rFonts w:ascii="Times New Roman" w:eastAsia="Times New Roman" w:hAnsi="Times New Roman" w:cs="Times New Roman"/>
          <w:i/>
        </w:rPr>
        <w:t xml:space="preserve"> group </w:t>
      </w:r>
      <w:proofErr w:type="spellStart"/>
      <w:r w:rsidR="00B96FF3">
        <w:rPr>
          <w:rFonts w:ascii="Times New Roman" w:eastAsia="Times New Roman" w:hAnsi="Times New Roman" w:cs="Times New Roman"/>
          <w:i/>
        </w:rPr>
        <w:t>environment</w:t>
      </w:r>
      <w:proofErr w:type="spellEnd"/>
      <w:r w:rsidR="00B96FF3">
        <w:rPr>
          <w:rFonts w:ascii="Times New Roman" w:eastAsia="Times New Roman" w:hAnsi="Times New Roman" w:cs="Times New Roman"/>
        </w:rPr>
        <w:t xml:space="preserve">) où les acteurs partagent des attentes, des objectifs et des conceptions (2009 : 18). </w:t>
      </w:r>
      <w:r w:rsidR="006461B8">
        <w:rPr>
          <w:rFonts w:ascii="Times New Roman" w:eastAsia="Times New Roman" w:hAnsi="Times New Roman" w:cs="Times New Roman"/>
        </w:rPr>
        <w:t xml:space="preserve">Cela </w:t>
      </w:r>
      <w:proofErr w:type="spellStart"/>
      <w:r w:rsidR="006461B8">
        <w:rPr>
          <w:rFonts w:ascii="Times New Roman" w:eastAsia="Times New Roman" w:hAnsi="Times New Roman" w:cs="Times New Roman"/>
        </w:rPr>
        <w:t>paraît</w:t>
      </w:r>
      <w:proofErr w:type="spellEnd"/>
      <w:r w:rsidR="006461B8">
        <w:rPr>
          <w:rFonts w:ascii="Times New Roman" w:eastAsia="Times New Roman" w:hAnsi="Times New Roman" w:cs="Times New Roman"/>
        </w:rPr>
        <w:t xml:space="preserve"> d’autant plus vrai </w:t>
      </w:r>
      <w:r w:rsidR="00B96FF3">
        <w:rPr>
          <w:rFonts w:ascii="Times New Roman" w:eastAsia="Times New Roman" w:hAnsi="Times New Roman" w:cs="Times New Roman"/>
        </w:rPr>
        <w:t>que la complexité du système favorise le rôle d’un petit nombre d’experts qui parlent le même langage et partagent so</w:t>
      </w:r>
      <w:r w:rsidR="00D43F31">
        <w:rPr>
          <w:rFonts w:ascii="Times New Roman" w:eastAsia="Times New Roman" w:hAnsi="Times New Roman" w:cs="Times New Roman"/>
        </w:rPr>
        <w:t>uvent les mêmes valeurs (Alter et Meunier</w:t>
      </w:r>
      <w:r w:rsidR="00B96FF3">
        <w:rPr>
          <w:rFonts w:ascii="Times New Roman" w:eastAsia="Times New Roman" w:hAnsi="Times New Roman" w:cs="Times New Roman"/>
        </w:rPr>
        <w:t xml:space="preserve"> 2009 : 18). </w:t>
      </w:r>
      <w:r w:rsidR="00316A9C">
        <w:rPr>
          <w:rFonts w:ascii="Times New Roman" w:eastAsia="Times New Roman" w:hAnsi="Times New Roman" w:cs="Times New Roman"/>
        </w:rPr>
        <w:t>Un tel constat a comme conséquence que cet environnement est généralement peu perméable aux influences externes et adopte moins facilement des idées nouvelles. Cette caractéristique peut donc induire une certai</w:t>
      </w:r>
      <w:r w:rsidR="006461B8">
        <w:rPr>
          <w:rFonts w:ascii="Times New Roman" w:eastAsia="Times New Roman" w:hAnsi="Times New Roman" w:cs="Times New Roman"/>
        </w:rPr>
        <w:t xml:space="preserve">ne rigidité dans la structure, </w:t>
      </w:r>
      <w:proofErr w:type="spellStart"/>
      <w:r w:rsidR="006461B8">
        <w:rPr>
          <w:rFonts w:ascii="Times New Roman" w:eastAsia="Times New Roman" w:hAnsi="Times New Roman" w:cs="Times New Roman"/>
        </w:rPr>
        <w:t>entraînant</w:t>
      </w:r>
      <w:proofErr w:type="spellEnd"/>
      <w:r w:rsidR="00316A9C">
        <w:rPr>
          <w:rFonts w:ascii="Times New Roman" w:eastAsia="Times New Roman" w:hAnsi="Times New Roman" w:cs="Times New Roman"/>
        </w:rPr>
        <w:t xml:space="preserve"> un effet contraire à </w:t>
      </w:r>
      <w:r w:rsidR="005B0839">
        <w:rPr>
          <w:rFonts w:ascii="Times New Roman" w:eastAsia="Times New Roman" w:hAnsi="Times New Roman" w:cs="Times New Roman"/>
        </w:rPr>
        <w:t>la possibilité des acteurs d’avoir des stratégies interinstitutionnelles qui offrent une certaine flexibilité.</w:t>
      </w:r>
      <w:r w:rsidR="000A3A53">
        <w:rPr>
          <w:rFonts w:ascii="Times New Roman" w:eastAsia="Times New Roman" w:hAnsi="Times New Roman" w:cs="Times New Roman"/>
        </w:rPr>
        <w:t xml:space="preserve"> </w:t>
      </w:r>
    </w:p>
    <w:p w14:paraId="0C4BA260" w14:textId="13B5940E" w:rsidR="0006623D" w:rsidRDefault="006461B8"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Mis à part les</w:t>
      </w:r>
      <w:r w:rsidR="005B0839">
        <w:rPr>
          <w:rFonts w:ascii="Times New Roman" w:eastAsia="Times New Roman" w:hAnsi="Times New Roman" w:cs="Times New Roman"/>
        </w:rPr>
        <w:t xml:space="preserve"> négociateurs travaillant dans le domaine des investissements, un exemple particulièrement patent du développement d’un environnement de petit groupe au sein du régime des investissements est celui des arbitres. À ce sujet, </w:t>
      </w:r>
      <w:proofErr w:type="spellStart"/>
      <w:r w:rsidR="005B0839">
        <w:rPr>
          <w:rFonts w:ascii="Times New Roman" w:eastAsia="Times New Roman" w:hAnsi="Times New Roman" w:cs="Times New Roman"/>
        </w:rPr>
        <w:t>Puig</w:t>
      </w:r>
      <w:proofErr w:type="spellEnd"/>
      <w:r w:rsidR="005B0839">
        <w:rPr>
          <w:rFonts w:ascii="Times New Roman" w:eastAsia="Times New Roman" w:hAnsi="Times New Roman" w:cs="Times New Roman"/>
        </w:rPr>
        <w:t xml:space="preserve"> a publié une très intéressante étude qui démontre que le nombre d’arbitres impliqués dans la résolution des différends investisseurs – États est relativement</w:t>
      </w:r>
      <w:r w:rsidR="003902A1">
        <w:rPr>
          <w:rFonts w:ascii="Times New Roman" w:eastAsia="Times New Roman" w:hAnsi="Times New Roman" w:cs="Times New Roman"/>
        </w:rPr>
        <w:t>, sinon très,</w:t>
      </w:r>
      <w:r w:rsidR="005B0839">
        <w:rPr>
          <w:rFonts w:ascii="Times New Roman" w:eastAsia="Times New Roman" w:hAnsi="Times New Roman" w:cs="Times New Roman"/>
        </w:rPr>
        <w:t xml:space="preserve"> petit, homogène</w:t>
      </w:r>
      <w:r w:rsidR="003902A1">
        <w:rPr>
          <w:rFonts w:ascii="Times New Roman" w:eastAsia="Times New Roman" w:hAnsi="Times New Roman" w:cs="Times New Roman"/>
        </w:rPr>
        <w:t xml:space="preserve"> et centralisé</w:t>
      </w:r>
      <w:r w:rsidR="005B0839">
        <w:rPr>
          <w:rFonts w:ascii="Times New Roman" w:eastAsia="Times New Roman" w:hAnsi="Times New Roman" w:cs="Times New Roman"/>
        </w:rPr>
        <w:t xml:space="preserve"> </w:t>
      </w:r>
      <w:r w:rsidR="003902A1">
        <w:rPr>
          <w:rFonts w:ascii="Times New Roman" w:eastAsia="Times New Roman" w:hAnsi="Times New Roman" w:cs="Times New Roman"/>
        </w:rPr>
        <w:t xml:space="preserve">(2014). </w:t>
      </w:r>
      <w:r w:rsidR="00333042">
        <w:rPr>
          <w:rFonts w:ascii="Times New Roman" w:eastAsia="Times New Roman" w:hAnsi="Times New Roman" w:cs="Times New Roman"/>
        </w:rPr>
        <w:t>Selon ses recherches, 10% des 419 arbitres nommés sur un tribunal établi sous l’égide du CIRDI étaient les arbitres po</w:t>
      </w:r>
      <w:r w:rsidR="00D43F31">
        <w:rPr>
          <w:rFonts w:ascii="Times New Roman" w:eastAsia="Times New Roman" w:hAnsi="Times New Roman" w:cs="Times New Roman"/>
        </w:rPr>
        <w:t>ur la moitié des affaires (</w:t>
      </w:r>
      <w:proofErr w:type="spellStart"/>
      <w:r w:rsidR="00D43F31">
        <w:rPr>
          <w:rFonts w:ascii="Times New Roman" w:eastAsia="Times New Roman" w:hAnsi="Times New Roman" w:cs="Times New Roman"/>
        </w:rPr>
        <w:t>Puig</w:t>
      </w:r>
      <w:proofErr w:type="spellEnd"/>
      <w:r w:rsidR="00333042">
        <w:rPr>
          <w:rFonts w:ascii="Times New Roman" w:eastAsia="Times New Roman" w:hAnsi="Times New Roman" w:cs="Times New Roman"/>
        </w:rPr>
        <w:t xml:space="preserve"> 2014 : 403). </w:t>
      </w:r>
      <w:r w:rsidR="003902A1">
        <w:rPr>
          <w:rFonts w:ascii="Times New Roman" w:eastAsia="Times New Roman" w:hAnsi="Times New Roman" w:cs="Times New Roman"/>
        </w:rPr>
        <w:t xml:space="preserve">Son </w:t>
      </w:r>
      <w:r w:rsidR="00333042">
        <w:rPr>
          <w:rFonts w:ascii="Times New Roman" w:eastAsia="Times New Roman" w:hAnsi="Times New Roman" w:cs="Times New Roman"/>
        </w:rPr>
        <w:t xml:space="preserve">analyse de réseaux démontre par ailleurs qu’un plus petit </w:t>
      </w:r>
      <w:r>
        <w:rPr>
          <w:rFonts w:ascii="Times New Roman" w:eastAsia="Times New Roman" w:hAnsi="Times New Roman" w:cs="Times New Roman"/>
        </w:rPr>
        <w:t>nombre d’entre eux se retrouve au centre du groupe et a le plus de connexions</w:t>
      </w:r>
      <w:r w:rsidR="00D43F31">
        <w:rPr>
          <w:rFonts w:ascii="Times New Roman" w:eastAsia="Times New Roman" w:hAnsi="Times New Roman" w:cs="Times New Roman"/>
        </w:rPr>
        <w:t xml:space="preserve"> (</w:t>
      </w:r>
      <w:proofErr w:type="spellStart"/>
      <w:r w:rsidR="00D43F31">
        <w:rPr>
          <w:rFonts w:ascii="Times New Roman" w:eastAsia="Times New Roman" w:hAnsi="Times New Roman" w:cs="Times New Roman"/>
        </w:rPr>
        <w:t>Puig</w:t>
      </w:r>
      <w:proofErr w:type="spellEnd"/>
      <w:r w:rsidR="00333042">
        <w:rPr>
          <w:rFonts w:ascii="Times New Roman" w:eastAsia="Times New Roman" w:hAnsi="Times New Roman" w:cs="Times New Roman"/>
        </w:rPr>
        <w:t xml:space="preserve"> 2014).</w:t>
      </w:r>
      <w:r w:rsidR="000A3A53">
        <w:rPr>
          <w:rFonts w:ascii="Times New Roman" w:eastAsia="Times New Roman" w:hAnsi="Times New Roman" w:cs="Times New Roman"/>
        </w:rPr>
        <w:t xml:space="preserve"> </w:t>
      </w:r>
      <w:r w:rsidR="00A85CE0">
        <w:rPr>
          <w:rFonts w:ascii="Times New Roman" w:eastAsia="Times New Roman" w:hAnsi="Times New Roman" w:cs="Times New Roman"/>
        </w:rPr>
        <w:t>Meunier et Morin ajoutent par ailleurs que les équipes de négociation de l’Union européenne ou des États-Unis sont relativement petites</w:t>
      </w:r>
      <w:r w:rsidR="00E25837">
        <w:rPr>
          <w:rFonts w:ascii="Times New Roman" w:eastAsia="Times New Roman" w:hAnsi="Times New Roman" w:cs="Times New Roman"/>
        </w:rPr>
        <w:t xml:space="preserve"> (2015 : 151)</w:t>
      </w:r>
      <w:r w:rsidR="00A85CE0">
        <w:rPr>
          <w:rFonts w:ascii="Times New Roman" w:eastAsia="Times New Roman" w:hAnsi="Times New Roman" w:cs="Times New Roman"/>
        </w:rPr>
        <w:t xml:space="preserve">. Il ne semble alors pas absurde de croire que </w:t>
      </w:r>
      <w:r w:rsidR="00E25837">
        <w:rPr>
          <w:rFonts w:ascii="Times New Roman" w:eastAsia="Times New Roman" w:hAnsi="Times New Roman" w:cs="Times New Roman"/>
        </w:rPr>
        <w:t xml:space="preserve">les mêmes agents se retrouvent assis aux différentes tables des négociations. </w:t>
      </w:r>
      <w:r w:rsidR="000A3A53">
        <w:rPr>
          <w:rFonts w:ascii="Times New Roman" w:eastAsia="Times New Roman" w:hAnsi="Times New Roman" w:cs="Times New Roman"/>
        </w:rPr>
        <w:t>Le rég</w:t>
      </w:r>
      <w:r>
        <w:rPr>
          <w:rFonts w:ascii="Times New Roman" w:eastAsia="Times New Roman" w:hAnsi="Times New Roman" w:cs="Times New Roman"/>
        </w:rPr>
        <w:t>ime des investissements semble</w:t>
      </w:r>
      <w:r w:rsidR="000A3A53">
        <w:rPr>
          <w:rFonts w:ascii="Times New Roman" w:eastAsia="Times New Roman" w:hAnsi="Times New Roman" w:cs="Times New Roman"/>
        </w:rPr>
        <w:t xml:space="preserve"> ainsi réellement faciliter l’existence d’un environnement de groupe.</w:t>
      </w:r>
    </w:p>
    <w:p w14:paraId="533DB047" w14:textId="58E1366B" w:rsidR="00103AFE" w:rsidRPr="006A5780" w:rsidRDefault="00103AFE" w:rsidP="004F762A">
      <w:pPr>
        <w:pStyle w:val="Titre3"/>
        <w:rPr>
          <w:rFonts w:ascii="Times New Roman" w:hAnsi="Times New Roman" w:cs="Times New Roman"/>
          <w:b w:val="0"/>
          <w:i/>
          <w:color w:val="auto"/>
          <w:sz w:val="26"/>
          <w:szCs w:val="26"/>
        </w:rPr>
      </w:pPr>
      <w:bookmarkStart w:id="8" w:name="_Toc313471460"/>
      <w:r w:rsidRPr="006A5780">
        <w:rPr>
          <w:rFonts w:ascii="Times New Roman" w:hAnsi="Times New Roman" w:cs="Times New Roman"/>
          <w:b w:val="0"/>
          <w:i/>
          <w:color w:val="auto"/>
          <w:sz w:val="26"/>
          <w:szCs w:val="26"/>
        </w:rPr>
        <w:t>2.2.5 Un environnement favorable aux effets rétroactifs</w:t>
      </w:r>
      <w:bookmarkEnd w:id="8"/>
    </w:p>
    <w:p w14:paraId="311E0114" w14:textId="36CED1DA" w:rsidR="00B52473" w:rsidRDefault="006461B8"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Enfin</w:t>
      </w:r>
      <w:r w:rsidR="000A3A53">
        <w:rPr>
          <w:rFonts w:ascii="Times New Roman" w:eastAsia="Times New Roman" w:hAnsi="Times New Roman" w:cs="Times New Roman"/>
        </w:rPr>
        <w:t>,</w:t>
      </w:r>
      <w:r>
        <w:rPr>
          <w:rFonts w:ascii="Times New Roman" w:eastAsia="Times New Roman" w:hAnsi="Times New Roman" w:cs="Times New Roman"/>
        </w:rPr>
        <w:t xml:space="preserve"> </w:t>
      </w:r>
      <w:r w:rsidR="0000234D">
        <w:rPr>
          <w:rFonts w:ascii="Times New Roman" w:eastAsia="Times New Roman" w:hAnsi="Times New Roman" w:cs="Times New Roman"/>
        </w:rPr>
        <w:t xml:space="preserve">la </w:t>
      </w:r>
      <w:r>
        <w:rPr>
          <w:rFonts w:ascii="Times New Roman" w:eastAsia="Times New Roman" w:hAnsi="Times New Roman" w:cs="Times New Roman"/>
        </w:rPr>
        <w:t xml:space="preserve">cinquième </w:t>
      </w:r>
      <w:r w:rsidR="0000234D">
        <w:rPr>
          <w:rFonts w:ascii="Times New Roman" w:eastAsia="Times New Roman" w:hAnsi="Times New Roman" w:cs="Times New Roman"/>
        </w:rPr>
        <w:t>implication d’un</w:t>
      </w:r>
      <w:r w:rsidR="008B343C">
        <w:rPr>
          <w:rFonts w:ascii="Times New Roman" w:eastAsia="Times New Roman" w:hAnsi="Times New Roman" w:cs="Times New Roman"/>
        </w:rPr>
        <w:t xml:space="preserve"> complexe</w:t>
      </w:r>
      <w:r w:rsidR="0000234D">
        <w:rPr>
          <w:rFonts w:ascii="Times New Roman" w:eastAsia="Times New Roman" w:hAnsi="Times New Roman" w:cs="Times New Roman"/>
        </w:rPr>
        <w:t xml:space="preserve"> </w:t>
      </w:r>
      <w:r w:rsidR="008B343C">
        <w:rPr>
          <w:rFonts w:ascii="Times New Roman" w:eastAsia="Times New Roman" w:hAnsi="Times New Roman" w:cs="Times New Roman"/>
        </w:rPr>
        <w:t xml:space="preserve">est </w:t>
      </w:r>
      <w:r w:rsidR="007714A8">
        <w:rPr>
          <w:rFonts w:ascii="Times New Roman" w:eastAsia="Times New Roman" w:hAnsi="Times New Roman" w:cs="Times New Roman"/>
        </w:rPr>
        <w:t xml:space="preserve">qu’il favorise le développement d’effets rétroactifs </w:t>
      </w:r>
      <w:r w:rsidR="00F91FD4">
        <w:rPr>
          <w:rFonts w:ascii="Times New Roman" w:eastAsia="Times New Roman" w:hAnsi="Times New Roman" w:cs="Times New Roman"/>
        </w:rPr>
        <w:t>(Alt</w:t>
      </w:r>
      <w:r w:rsidR="00D43F31">
        <w:rPr>
          <w:rFonts w:ascii="Times New Roman" w:eastAsia="Times New Roman" w:hAnsi="Times New Roman" w:cs="Times New Roman"/>
        </w:rPr>
        <w:t>er et Meunier</w:t>
      </w:r>
      <w:r w:rsidR="00F91FD4">
        <w:rPr>
          <w:rFonts w:ascii="Times New Roman" w:eastAsia="Times New Roman" w:hAnsi="Times New Roman" w:cs="Times New Roman"/>
        </w:rPr>
        <w:t xml:space="preserve"> 2009 : 19). </w:t>
      </w:r>
      <w:r w:rsidR="007714A8">
        <w:rPr>
          <w:rFonts w:ascii="Times New Roman" w:eastAsia="Times New Roman" w:hAnsi="Times New Roman" w:cs="Times New Roman"/>
        </w:rPr>
        <w:t xml:space="preserve">D’une part, l’existence de plusieurs </w:t>
      </w:r>
      <w:r w:rsidR="00F91FD4">
        <w:rPr>
          <w:rFonts w:ascii="Times New Roman" w:eastAsia="Times New Roman" w:hAnsi="Times New Roman" w:cs="Times New Roman"/>
        </w:rPr>
        <w:t xml:space="preserve">institutions </w:t>
      </w:r>
      <w:r w:rsidR="007714A8">
        <w:rPr>
          <w:rFonts w:ascii="Times New Roman" w:eastAsia="Times New Roman" w:hAnsi="Times New Roman" w:cs="Times New Roman"/>
        </w:rPr>
        <w:lastRenderedPageBreak/>
        <w:t>travaillant sur un même enjeu</w:t>
      </w:r>
      <w:r w:rsidR="00F91FD4">
        <w:rPr>
          <w:rFonts w:ascii="Times New Roman" w:eastAsia="Times New Roman" w:hAnsi="Times New Roman" w:cs="Times New Roman"/>
        </w:rPr>
        <w:t xml:space="preserve"> </w:t>
      </w:r>
      <w:r w:rsidR="007714A8">
        <w:rPr>
          <w:rFonts w:ascii="Times New Roman" w:eastAsia="Times New Roman" w:hAnsi="Times New Roman" w:cs="Times New Roman"/>
        </w:rPr>
        <w:t>ouvre</w:t>
      </w:r>
      <w:r w:rsidR="00E07540">
        <w:rPr>
          <w:rFonts w:ascii="Times New Roman" w:eastAsia="Times New Roman" w:hAnsi="Times New Roman" w:cs="Times New Roman"/>
        </w:rPr>
        <w:t xml:space="preserve"> la possibilité </w:t>
      </w:r>
      <w:r w:rsidR="007714A8">
        <w:rPr>
          <w:rFonts w:ascii="Times New Roman" w:eastAsia="Times New Roman" w:hAnsi="Times New Roman" w:cs="Times New Roman"/>
        </w:rPr>
        <w:t>de voir se développ</w:t>
      </w:r>
      <w:r w:rsidR="0011144A">
        <w:rPr>
          <w:rFonts w:ascii="Times New Roman" w:eastAsia="Times New Roman" w:hAnsi="Times New Roman" w:cs="Times New Roman"/>
        </w:rPr>
        <w:t xml:space="preserve">er une compétition entre elles, notamment </w:t>
      </w:r>
      <w:r w:rsidR="007714A8">
        <w:rPr>
          <w:rFonts w:ascii="Times New Roman" w:eastAsia="Times New Roman" w:hAnsi="Times New Roman" w:cs="Times New Roman"/>
        </w:rPr>
        <w:t>pour les ressources</w:t>
      </w:r>
      <w:r w:rsidR="00D43F31">
        <w:rPr>
          <w:rFonts w:ascii="Times New Roman" w:eastAsia="Times New Roman" w:hAnsi="Times New Roman" w:cs="Times New Roman"/>
        </w:rPr>
        <w:t xml:space="preserve"> et les membres (Alter et Meunier</w:t>
      </w:r>
      <w:r w:rsidR="0011144A">
        <w:rPr>
          <w:rFonts w:ascii="Times New Roman" w:eastAsia="Times New Roman" w:hAnsi="Times New Roman" w:cs="Times New Roman"/>
        </w:rPr>
        <w:t xml:space="preserve"> 2009 : 19). Une telle concurrence peut alors </w:t>
      </w:r>
      <w:r w:rsidR="00BE07B3">
        <w:rPr>
          <w:rFonts w:ascii="Times New Roman" w:eastAsia="Times New Roman" w:hAnsi="Times New Roman" w:cs="Times New Roman"/>
        </w:rPr>
        <w:t xml:space="preserve">induire </w:t>
      </w:r>
      <w:r w:rsidR="0011144A">
        <w:rPr>
          <w:rFonts w:ascii="Times New Roman" w:eastAsia="Times New Roman" w:hAnsi="Times New Roman" w:cs="Times New Roman"/>
        </w:rPr>
        <w:t>des changements au sein des pratiques ou du fonctionnement des institutions touchées. Dans le cadre du régime des investissements,  i</w:t>
      </w:r>
      <w:r w:rsidR="00F91FD4">
        <w:rPr>
          <w:rFonts w:ascii="Times New Roman" w:eastAsia="Times New Roman" w:hAnsi="Times New Roman" w:cs="Times New Roman"/>
        </w:rPr>
        <w:t xml:space="preserve">l ne serait par exemple pas étonnant </w:t>
      </w:r>
      <w:r w:rsidR="0011144A">
        <w:rPr>
          <w:rFonts w:ascii="Times New Roman" w:eastAsia="Times New Roman" w:hAnsi="Times New Roman" w:cs="Times New Roman"/>
        </w:rPr>
        <w:t>de voir le</w:t>
      </w:r>
      <w:r w:rsidR="00F91FD4">
        <w:rPr>
          <w:rFonts w:ascii="Times New Roman" w:eastAsia="Times New Roman" w:hAnsi="Times New Roman" w:cs="Times New Roman"/>
        </w:rPr>
        <w:t xml:space="preserve"> CIRDI modifie</w:t>
      </w:r>
      <w:r w:rsidR="0011144A">
        <w:rPr>
          <w:rFonts w:ascii="Times New Roman" w:eastAsia="Times New Roman" w:hAnsi="Times New Roman" w:cs="Times New Roman"/>
        </w:rPr>
        <w:t>r</w:t>
      </w:r>
      <w:r w:rsidR="00F91FD4">
        <w:rPr>
          <w:rFonts w:ascii="Times New Roman" w:eastAsia="Times New Roman" w:hAnsi="Times New Roman" w:cs="Times New Roman"/>
        </w:rPr>
        <w:t xml:space="preserve"> ses règles de fonctionnement afin de </w:t>
      </w:r>
      <w:r w:rsidR="0011144A">
        <w:rPr>
          <w:rFonts w:ascii="Times New Roman" w:eastAsia="Times New Roman" w:hAnsi="Times New Roman" w:cs="Times New Roman"/>
        </w:rPr>
        <w:t>permettre son utilisation par les organisations internationales</w:t>
      </w:r>
      <w:r w:rsidR="0000234D">
        <w:rPr>
          <w:rFonts w:ascii="Times New Roman" w:eastAsia="Times New Roman" w:hAnsi="Times New Roman" w:cs="Times New Roman"/>
        </w:rPr>
        <w:t xml:space="preserve"> (</w:t>
      </w:r>
      <w:r w:rsidR="0011144A">
        <w:rPr>
          <w:rFonts w:ascii="Times New Roman" w:eastAsia="Times New Roman" w:hAnsi="Times New Roman" w:cs="Times New Roman"/>
        </w:rPr>
        <w:t>actuellement l’</w:t>
      </w:r>
      <w:r w:rsidR="00F91FD4">
        <w:rPr>
          <w:rFonts w:ascii="Times New Roman" w:eastAsia="Times New Roman" w:hAnsi="Times New Roman" w:cs="Times New Roman"/>
        </w:rPr>
        <w:t>Union européenne</w:t>
      </w:r>
      <w:r w:rsidR="0011144A">
        <w:rPr>
          <w:rFonts w:ascii="Times New Roman" w:eastAsia="Times New Roman" w:hAnsi="Times New Roman" w:cs="Times New Roman"/>
        </w:rPr>
        <w:t xml:space="preserve"> ne peut utiliser ses services</w:t>
      </w:r>
      <w:r w:rsidR="0000234D">
        <w:rPr>
          <w:rFonts w:ascii="Times New Roman" w:eastAsia="Times New Roman" w:hAnsi="Times New Roman" w:cs="Times New Roman"/>
        </w:rPr>
        <w:t>)</w:t>
      </w:r>
      <w:r w:rsidR="0011144A">
        <w:rPr>
          <w:rFonts w:ascii="Times New Roman" w:eastAsia="Times New Roman" w:hAnsi="Times New Roman" w:cs="Times New Roman"/>
        </w:rPr>
        <w:t>. Un tel ch</w:t>
      </w:r>
      <w:r w:rsidR="007C5D41">
        <w:rPr>
          <w:rFonts w:ascii="Times New Roman" w:eastAsia="Times New Roman" w:hAnsi="Times New Roman" w:cs="Times New Roman"/>
        </w:rPr>
        <w:t xml:space="preserve">angement </w:t>
      </w:r>
      <w:r w:rsidR="0000234D" w:rsidRPr="0000234D">
        <w:rPr>
          <w:rFonts w:ascii="Times New Roman" w:eastAsia="Times New Roman" w:hAnsi="Times New Roman" w:cs="Times New Roman"/>
        </w:rPr>
        <w:t xml:space="preserve">lui permettrait sans doute de conserver </w:t>
      </w:r>
      <w:r w:rsidR="0011144A">
        <w:rPr>
          <w:rFonts w:ascii="Times New Roman" w:eastAsia="Times New Roman" w:hAnsi="Times New Roman" w:cs="Times New Roman"/>
        </w:rPr>
        <w:t>son statut d’</w:t>
      </w:r>
      <w:r w:rsidR="00E07540">
        <w:rPr>
          <w:rFonts w:ascii="Times New Roman" w:eastAsia="Times New Roman" w:hAnsi="Times New Roman" w:cs="Times New Roman"/>
        </w:rPr>
        <w:t>institution</w:t>
      </w:r>
      <w:r w:rsidR="00F91FD4">
        <w:rPr>
          <w:rFonts w:ascii="Times New Roman" w:eastAsia="Times New Roman" w:hAnsi="Times New Roman" w:cs="Times New Roman"/>
        </w:rPr>
        <w:t xml:space="preserve"> la plus utilisée aux fins d’arbitrage</w:t>
      </w:r>
      <w:r w:rsidR="00E07540">
        <w:rPr>
          <w:rFonts w:ascii="Times New Roman" w:eastAsia="Times New Roman" w:hAnsi="Times New Roman" w:cs="Times New Roman"/>
        </w:rPr>
        <w:t>s</w:t>
      </w:r>
      <w:r w:rsidR="0011144A">
        <w:rPr>
          <w:rFonts w:ascii="Times New Roman" w:eastAsia="Times New Roman" w:hAnsi="Times New Roman" w:cs="Times New Roman"/>
        </w:rPr>
        <w:t xml:space="preserve"> investisseur – État, ce qui se traduit notamment par d’importants revenus pour </w:t>
      </w:r>
      <w:r w:rsidR="0041242C">
        <w:rPr>
          <w:rFonts w:ascii="Times New Roman" w:eastAsia="Times New Roman" w:hAnsi="Times New Roman" w:cs="Times New Roman"/>
        </w:rPr>
        <w:t>s</w:t>
      </w:r>
      <w:r w:rsidR="007C5D41">
        <w:rPr>
          <w:rFonts w:ascii="Times New Roman" w:eastAsia="Times New Roman" w:hAnsi="Times New Roman" w:cs="Times New Roman"/>
        </w:rPr>
        <w:t>es arbitre</w:t>
      </w:r>
      <w:r w:rsidR="0041242C">
        <w:rPr>
          <w:rFonts w:ascii="Times New Roman" w:eastAsia="Times New Roman" w:hAnsi="Times New Roman" w:cs="Times New Roman"/>
        </w:rPr>
        <w:t xml:space="preserve">s et son </w:t>
      </w:r>
      <w:r w:rsidR="0041242C" w:rsidRPr="0041242C">
        <w:rPr>
          <w:rFonts w:ascii="Times New Roman" w:eastAsia="Times New Roman" w:hAnsi="Times New Roman" w:cs="Times New Roman"/>
        </w:rPr>
        <w:t xml:space="preserve">secrétariat </w:t>
      </w:r>
      <w:r w:rsidR="0011144A" w:rsidRPr="0041242C">
        <w:rPr>
          <w:rFonts w:ascii="Times New Roman" w:eastAsia="Times New Roman" w:hAnsi="Times New Roman" w:cs="Times New Roman"/>
        </w:rPr>
        <w:t>(</w:t>
      </w:r>
      <w:proofErr w:type="spellStart"/>
      <w:r w:rsidR="0011144A" w:rsidRPr="0041242C">
        <w:rPr>
          <w:rFonts w:ascii="Times New Roman" w:eastAsia="Times New Roman" w:hAnsi="Times New Roman" w:cs="Times New Roman"/>
        </w:rPr>
        <w:t>P</w:t>
      </w:r>
      <w:r w:rsidR="00D43F31">
        <w:rPr>
          <w:rFonts w:ascii="Times New Roman" w:eastAsia="Times New Roman" w:hAnsi="Times New Roman" w:cs="Times New Roman"/>
        </w:rPr>
        <w:t>uig</w:t>
      </w:r>
      <w:proofErr w:type="spellEnd"/>
      <w:r w:rsidR="00D43F31">
        <w:rPr>
          <w:rFonts w:ascii="Times New Roman" w:eastAsia="Times New Roman" w:hAnsi="Times New Roman" w:cs="Times New Roman"/>
        </w:rPr>
        <w:t xml:space="preserve"> 2014;</w:t>
      </w:r>
      <w:r w:rsidR="0041242C" w:rsidRPr="0041242C">
        <w:rPr>
          <w:rFonts w:ascii="Times New Roman" w:eastAsia="Times New Roman" w:hAnsi="Times New Roman" w:cs="Times New Roman"/>
        </w:rPr>
        <w:t xml:space="preserve"> </w:t>
      </w:r>
      <w:proofErr w:type="spellStart"/>
      <w:r w:rsidR="0041242C" w:rsidRPr="0041242C">
        <w:rPr>
          <w:rFonts w:ascii="Times New Roman" w:eastAsia="Times New Roman" w:hAnsi="Times New Roman" w:cs="Times New Roman"/>
        </w:rPr>
        <w:t>Poulsen</w:t>
      </w:r>
      <w:proofErr w:type="spellEnd"/>
      <w:r w:rsidR="007C5D41" w:rsidRPr="0041242C">
        <w:rPr>
          <w:rFonts w:ascii="Times New Roman" w:eastAsia="Times New Roman" w:hAnsi="Times New Roman" w:cs="Times New Roman"/>
        </w:rPr>
        <w:t xml:space="preserve"> </w:t>
      </w:r>
      <w:r w:rsidR="0041242C" w:rsidRPr="0041242C">
        <w:rPr>
          <w:rFonts w:ascii="Times New Roman" w:eastAsia="Times New Roman" w:hAnsi="Times New Roman" w:cs="Times New Roman"/>
        </w:rPr>
        <w:t>2015)</w:t>
      </w:r>
      <w:r w:rsidR="0011144A" w:rsidRPr="0041242C">
        <w:rPr>
          <w:rFonts w:ascii="Times New Roman" w:eastAsia="Times New Roman" w:hAnsi="Times New Roman" w:cs="Times New Roman"/>
        </w:rPr>
        <w:t xml:space="preserve">. D’autre part, en n’évoluant pas en </w:t>
      </w:r>
      <w:r w:rsidR="00B52473" w:rsidRPr="0041242C">
        <w:rPr>
          <w:rFonts w:ascii="Times New Roman" w:eastAsia="Times New Roman" w:hAnsi="Times New Roman" w:cs="Times New Roman"/>
        </w:rPr>
        <w:t>vase clos</w:t>
      </w:r>
      <w:r w:rsidR="0011144A" w:rsidRPr="0041242C">
        <w:rPr>
          <w:rFonts w:ascii="Times New Roman" w:eastAsia="Times New Roman" w:hAnsi="Times New Roman" w:cs="Times New Roman"/>
        </w:rPr>
        <w:t>, les institutions sont évidemment perméables</w:t>
      </w:r>
      <w:r w:rsidR="00B52473" w:rsidRPr="0041242C">
        <w:rPr>
          <w:rFonts w:ascii="Times New Roman" w:eastAsia="Times New Roman" w:hAnsi="Times New Roman" w:cs="Times New Roman"/>
        </w:rPr>
        <w:t xml:space="preserve"> aux nouvelles règles que chacune d’entre elles adoptent. Suite à l’adoption d’une</w:t>
      </w:r>
      <w:r w:rsidR="00B52473">
        <w:rPr>
          <w:rFonts w:ascii="Times New Roman" w:eastAsia="Times New Roman" w:hAnsi="Times New Roman" w:cs="Times New Roman"/>
        </w:rPr>
        <w:t xml:space="preserve"> définition restrictive du concept d’expropriation indirecte par les États-Unis au sein de deux accords commerciaux en 2003, plusieurs États ont ainsi commencé à inclure cette même définition</w:t>
      </w:r>
      <w:r w:rsidR="0041242C">
        <w:rPr>
          <w:rFonts w:ascii="Times New Roman" w:eastAsia="Times New Roman" w:hAnsi="Times New Roman" w:cs="Times New Roman"/>
        </w:rPr>
        <w:t xml:space="preserve"> au sein de leurs traités. L’Autriche s’est par exemple éloigné de la pratique européenne en incluant une telle définition dans son modèle d’accord sur l’investissement de 20</w:t>
      </w:r>
      <w:r w:rsidR="0041242C" w:rsidRPr="00885460">
        <w:rPr>
          <w:rFonts w:ascii="Times New Roman" w:eastAsia="Times New Roman" w:hAnsi="Times New Roman" w:cs="Times New Roman"/>
        </w:rPr>
        <w:t>08</w:t>
      </w:r>
      <w:r w:rsidR="00D43F31">
        <w:rPr>
          <w:rStyle w:val="Marquenotebasdepage"/>
          <w:rFonts w:ascii="Times New Roman" w:eastAsia="Times New Roman" w:hAnsi="Times New Roman" w:cs="Times New Roman"/>
        </w:rPr>
        <w:footnoteReference w:id="1"/>
      </w:r>
      <w:r w:rsidR="00D43F31">
        <w:rPr>
          <w:rFonts w:ascii="Times New Roman" w:eastAsia="Times New Roman" w:hAnsi="Times New Roman" w:cs="Times New Roman"/>
        </w:rPr>
        <w:t xml:space="preserve">. </w:t>
      </w:r>
      <w:r w:rsidR="002D5E96">
        <w:rPr>
          <w:rFonts w:ascii="Times New Roman" w:eastAsia="Times New Roman" w:hAnsi="Times New Roman" w:cs="Times New Roman"/>
        </w:rPr>
        <w:t>Cette définition semble maintenant pratiquement incontournable alors qu’on la retrouve dans la majorité des traités dont les tous récents AECG et TPP</w:t>
      </w:r>
      <w:r w:rsidR="00B52473">
        <w:rPr>
          <w:rFonts w:ascii="Times New Roman" w:eastAsia="Times New Roman" w:hAnsi="Times New Roman" w:cs="Times New Roman"/>
        </w:rPr>
        <w:t>. La diffusion de cette nouvelle règle s’est ainsi fait à travers tout le régime des investissements</w:t>
      </w:r>
      <w:r w:rsidR="00A01AD4">
        <w:rPr>
          <w:rFonts w:ascii="Times New Roman" w:eastAsia="Times New Roman" w:hAnsi="Times New Roman" w:cs="Times New Roman"/>
        </w:rPr>
        <w:t xml:space="preserve"> suite à sa première inclusion par les États-Unis en 2003.</w:t>
      </w:r>
    </w:p>
    <w:p w14:paraId="00707E43" w14:textId="3BD588FE" w:rsidR="00B52473" w:rsidRPr="00E25837" w:rsidRDefault="0000234D"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Considérées dans leur</w:t>
      </w:r>
      <w:r w:rsidR="00A6376D">
        <w:rPr>
          <w:rFonts w:ascii="Times New Roman" w:eastAsia="Times New Roman" w:hAnsi="Times New Roman" w:cs="Times New Roman"/>
        </w:rPr>
        <w:t xml:space="preserve"> ensemble</w:t>
      </w:r>
      <w:r>
        <w:rPr>
          <w:rFonts w:ascii="Times New Roman" w:eastAsia="Times New Roman" w:hAnsi="Times New Roman" w:cs="Times New Roman"/>
        </w:rPr>
        <w:t xml:space="preserve">, </w:t>
      </w:r>
      <w:r w:rsidR="00A01AD4">
        <w:rPr>
          <w:rFonts w:ascii="Times New Roman" w:eastAsia="Times New Roman" w:hAnsi="Times New Roman" w:cs="Times New Roman"/>
        </w:rPr>
        <w:t xml:space="preserve">ces cinq implications </w:t>
      </w:r>
      <w:r w:rsidR="00BE07B3">
        <w:rPr>
          <w:rFonts w:ascii="Times New Roman" w:eastAsia="Times New Roman" w:hAnsi="Times New Roman" w:cs="Times New Roman"/>
        </w:rPr>
        <w:t>de l’existence d’un complexe éclaire un peu plus le développement du régime des investissements que ne le font</w:t>
      </w:r>
      <w:r w:rsidR="00A6376D">
        <w:rPr>
          <w:rFonts w:ascii="Times New Roman" w:eastAsia="Times New Roman" w:hAnsi="Times New Roman" w:cs="Times New Roman"/>
        </w:rPr>
        <w:t xml:space="preserve"> déjà</w:t>
      </w:r>
      <w:r w:rsidR="00BE07B3">
        <w:rPr>
          <w:rFonts w:ascii="Times New Roman" w:eastAsia="Times New Roman" w:hAnsi="Times New Roman" w:cs="Times New Roman"/>
        </w:rPr>
        <w:t xml:space="preserve"> plusieurs autres théories des </w:t>
      </w:r>
      <w:r w:rsidR="00BE07B3" w:rsidRPr="00E25837">
        <w:rPr>
          <w:rFonts w:ascii="Times New Roman" w:eastAsia="Times New Roman" w:hAnsi="Times New Roman" w:cs="Times New Roman"/>
        </w:rPr>
        <w:t>relations internationales (</w:t>
      </w:r>
      <w:proofErr w:type="spellStart"/>
      <w:r w:rsidR="00BE07B3" w:rsidRPr="00E25837">
        <w:rPr>
          <w:rFonts w:ascii="Times New Roman" w:eastAsia="Times New Roman" w:hAnsi="Times New Roman" w:cs="Times New Roman"/>
        </w:rPr>
        <w:t>Pauwelyn</w:t>
      </w:r>
      <w:proofErr w:type="spellEnd"/>
      <w:r w:rsidR="00885460" w:rsidRPr="00E25837">
        <w:rPr>
          <w:rFonts w:ascii="Times New Roman" w:eastAsia="Times New Roman" w:hAnsi="Times New Roman" w:cs="Times New Roman"/>
        </w:rPr>
        <w:t xml:space="preserve"> 2014</w:t>
      </w:r>
      <w:r w:rsidR="00BE07B3" w:rsidRPr="00E25837">
        <w:rPr>
          <w:rFonts w:ascii="Times New Roman" w:eastAsia="Times New Roman" w:hAnsi="Times New Roman" w:cs="Times New Roman"/>
        </w:rPr>
        <w:t xml:space="preserve">). </w:t>
      </w:r>
      <w:r w:rsidR="00A6376D">
        <w:rPr>
          <w:rFonts w:ascii="Times New Roman" w:eastAsia="Times New Roman" w:hAnsi="Times New Roman" w:cs="Times New Roman"/>
        </w:rPr>
        <w:t xml:space="preserve">Leur utilisation </w:t>
      </w:r>
      <w:proofErr w:type="spellStart"/>
      <w:r w:rsidR="00A6376D">
        <w:rPr>
          <w:rFonts w:ascii="Times New Roman" w:eastAsia="Times New Roman" w:hAnsi="Times New Roman" w:cs="Times New Roman"/>
        </w:rPr>
        <w:t>apparaît</w:t>
      </w:r>
      <w:proofErr w:type="spellEnd"/>
      <w:r w:rsidR="00A6376D">
        <w:rPr>
          <w:rFonts w:ascii="Times New Roman" w:eastAsia="Times New Roman" w:hAnsi="Times New Roman" w:cs="Times New Roman"/>
        </w:rPr>
        <w:t xml:space="preserve"> alors toute indiquée afin de retracer et d’expliquer les possibles sources d’inspiration et d’apprentissage de la Commission européenne dans le développement de son modèle d’accord sur l’investissement. Avant de </w:t>
      </w:r>
      <w:r>
        <w:rPr>
          <w:rFonts w:ascii="Times New Roman" w:eastAsia="Times New Roman" w:hAnsi="Times New Roman" w:cs="Times New Roman"/>
        </w:rPr>
        <w:t>s’attarder plus longuement à</w:t>
      </w:r>
      <w:r w:rsidR="00A6376D">
        <w:rPr>
          <w:rFonts w:ascii="Times New Roman" w:eastAsia="Times New Roman" w:hAnsi="Times New Roman" w:cs="Times New Roman"/>
        </w:rPr>
        <w:t xml:space="preserve"> cette question, la prochaine section expliquera comment ce modèle, encore aujourd</w:t>
      </w:r>
      <w:r w:rsidR="00D43F31">
        <w:rPr>
          <w:rFonts w:ascii="Times New Roman" w:eastAsia="Times New Roman" w:hAnsi="Times New Roman" w:cs="Times New Roman"/>
        </w:rPr>
        <w:t>’hui « invisible » (</w:t>
      </w:r>
      <w:proofErr w:type="spellStart"/>
      <w:r w:rsidR="00D43F31">
        <w:rPr>
          <w:rFonts w:ascii="Times New Roman" w:eastAsia="Times New Roman" w:hAnsi="Times New Roman" w:cs="Times New Roman"/>
        </w:rPr>
        <w:t>Bungenberg</w:t>
      </w:r>
      <w:proofErr w:type="spellEnd"/>
      <w:r w:rsidR="00D43F31">
        <w:rPr>
          <w:rFonts w:ascii="Times New Roman" w:eastAsia="Times New Roman" w:hAnsi="Times New Roman" w:cs="Times New Roman"/>
        </w:rPr>
        <w:t xml:space="preserve"> et </w:t>
      </w:r>
      <w:proofErr w:type="spellStart"/>
      <w:r w:rsidR="00D43F31">
        <w:rPr>
          <w:rFonts w:ascii="Times New Roman" w:eastAsia="Times New Roman" w:hAnsi="Times New Roman" w:cs="Times New Roman"/>
        </w:rPr>
        <w:t>Reinisch</w:t>
      </w:r>
      <w:proofErr w:type="spellEnd"/>
      <w:r w:rsidR="00A6376D">
        <w:rPr>
          <w:rFonts w:ascii="Times New Roman" w:eastAsia="Times New Roman" w:hAnsi="Times New Roman" w:cs="Times New Roman"/>
        </w:rPr>
        <w:t xml:space="preserve"> 2014), a pu être dégagé. </w:t>
      </w:r>
    </w:p>
    <w:p w14:paraId="45469F7F" w14:textId="093485F2" w:rsidR="008D5244" w:rsidRPr="006A5780" w:rsidRDefault="001937E6" w:rsidP="006A5780">
      <w:pPr>
        <w:pStyle w:val="Titre1"/>
        <w:spacing w:before="120" w:after="120"/>
        <w:jc w:val="both"/>
        <w:rPr>
          <w:rFonts w:ascii="Times New Roman" w:hAnsi="Times New Roman" w:cs="Times New Roman"/>
          <w:b/>
          <w:color w:val="auto"/>
          <w:sz w:val="28"/>
        </w:rPr>
      </w:pPr>
      <w:bookmarkStart w:id="9" w:name="_Toc313471461"/>
      <w:r w:rsidRPr="006A5780">
        <w:rPr>
          <w:rFonts w:ascii="Times New Roman" w:hAnsi="Times New Roman" w:cs="Times New Roman"/>
          <w:b/>
          <w:color w:val="auto"/>
          <w:sz w:val="28"/>
        </w:rPr>
        <w:t xml:space="preserve">3. </w:t>
      </w:r>
      <w:r w:rsidR="00CC3FA7" w:rsidRPr="006A5780">
        <w:rPr>
          <w:rFonts w:ascii="Times New Roman" w:hAnsi="Times New Roman" w:cs="Times New Roman"/>
          <w:b/>
          <w:color w:val="auto"/>
          <w:sz w:val="28"/>
        </w:rPr>
        <w:t>À la recherche du modèle invisible d’accord sur l’investissement européen</w:t>
      </w:r>
      <w:bookmarkEnd w:id="9"/>
    </w:p>
    <w:p w14:paraId="76FFE967" w14:textId="069B1F5E" w:rsidR="00885460" w:rsidRPr="00E25837" w:rsidRDefault="004D039E" w:rsidP="00BA43F7">
      <w:pPr>
        <w:spacing w:before="120" w:after="120" w:line="360" w:lineRule="auto"/>
        <w:jc w:val="both"/>
        <w:rPr>
          <w:rFonts w:ascii="Times New Roman" w:hAnsi="Times New Roman" w:cs="Times New Roman"/>
        </w:rPr>
      </w:pPr>
      <w:r w:rsidRPr="00E25837">
        <w:rPr>
          <w:rFonts w:ascii="Times New Roman" w:hAnsi="Times New Roman" w:cs="Times New Roman"/>
        </w:rPr>
        <w:t xml:space="preserve">Un dicton bien connu veut qu’on puisse faire dire ce qu’on veut aux chiffres. </w:t>
      </w:r>
      <w:r w:rsidR="008D5244" w:rsidRPr="00E25837">
        <w:rPr>
          <w:rFonts w:ascii="Times New Roman" w:hAnsi="Times New Roman" w:cs="Times New Roman"/>
        </w:rPr>
        <w:t>En réalité, on pourrait tout aussi bien affirmer qu’on peut faire dire ce qu’on veut à n’importe quelle recherche</w:t>
      </w:r>
      <w:r w:rsidR="00FD0A6E" w:rsidRPr="00E25837">
        <w:rPr>
          <w:rFonts w:ascii="Times New Roman" w:hAnsi="Times New Roman" w:cs="Times New Roman"/>
        </w:rPr>
        <w:t xml:space="preserve">, qualitative comme quantitative. Au cours d’une étude, tout </w:t>
      </w:r>
      <w:r w:rsidR="008D5244" w:rsidRPr="00E25837">
        <w:rPr>
          <w:rFonts w:ascii="Times New Roman" w:hAnsi="Times New Roman" w:cs="Times New Roman"/>
        </w:rPr>
        <w:t>chercheur</w:t>
      </w:r>
      <w:r w:rsidR="00FD0A6E" w:rsidRPr="00E25837">
        <w:rPr>
          <w:rFonts w:ascii="Times New Roman" w:hAnsi="Times New Roman" w:cs="Times New Roman"/>
        </w:rPr>
        <w:t xml:space="preserve"> fait en</w:t>
      </w:r>
      <w:r w:rsidR="0000234D">
        <w:rPr>
          <w:rFonts w:ascii="Times New Roman" w:hAnsi="Times New Roman" w:cs="Times New Roman"/>
        </w:rPr>
        <w:t xml:space="preserve"> effet face à plusieurs </w:t>
      </w:r>
      <w:r w:rsidR="0000234D">
        <w:rPr>
          <w:rFonts w:ascii="Times New Roman" w:hAnsi="Times New Roman" w:cs="Times New Roman"/>
        </w:rPr>
        <w:lastRenderedPageBreak/>
        <w:t xml:space="preserve">risques, </w:t>
      </w:r>
      <w:r w:rsidR="00FD0A6E" w:rsidRPr="00E25837">
        <w:rPr>
          <w:rFonts w:ascii="Times New Roman" w:hAnsi="Times New Roman" w:cs="Times New Roman"/>
        </w:rPr>
        <w:t>comme de poser une</w:t>
      </w:r>
      <w:r w:rsidR="00503441" w:rsidRPr="00E25837">
        <w:rPr>
          <w:rFonts w:ascii="Times New Roman" w:hAnsi="Times New Roman" w:cs="Times New Roman"/>
        </w:rPr>
        <w:t xml:space="preserve"> mauvaise</w:t>
      </w:r>
      <w:r w:rsidR="00FD0A6E" w:rsidRPr="00E25837">
        <w:rPr>
          <w:rFonts w:ascii="Times New Roman" w:hAnsi="Times New Roman" w:cs="Times New Roman"/>
        </w:rPr>
        <w:t xml:space="preserve"> question</w:t>
      </w:r>
      <w:r w:rsidR="00503441" w:rsidRPr="00E25837">
        <w:rPr>
          <w:rFonts w:ascii="Times New Roman" w:hAnsi="Times New Roman" w:cs="Times New Roman"/>
        </w:rPr>
        <w:t xml:space="preserve"> de recherche, de </w:t>
      </w:r>
      <w:r w:rsidR="00FD0A6E" w:rsidRPr="00E25837">
        <w:rPr>
          <w:rFonts w:ascii="Times New Roman" w:hAnsi="Times New Roman" w:cs="Times New Roman"/>
        </w:rPr>
        <w:t>rejeter des informations contred</w:t>
      </w:r>
      <w:r w:rsidR="00503441" w:rsidRPr="00E25837">
        <w:rPr>
          <w:rFonts w:ascii="Times New Roman" w:hAnsi="Times New Roman" w:cs="Times New Roman"/>
        </w:rPr>
        <w:t xml:space="preserve">isant sa question de recherche ou encore </w:t>
      </w:r>
      <w:r w:rsidR="00FD0A6E" w:rsidRPr="00E25837">
        <w:rPr>
          <w:rFonts w:ascii="Times New Roman" w:hAnsi="Times New Roman" w:cs="Times New Roman"/>
        </w:rPr>
        <w:t xml:space="preserve">d’influencer </w:t>
      </w:r>
      <w:r w:rsidR="0000234D">
        <w:rPr>
          <w:rFonts w:ascii="Times New Roman" w:hAnsi="Times New Roman" w:cs="Times New Roman"/>
        </w:rPr>
        <w:t>son sujet</w:t>
      </w:r>
      <w:r w:rsidR="00FD0A6E" w:rsidRPr="0000234D">
        <w:rPr>
          <w:rFonts w:ascii="Times New Roman" w:hAnsi="Times New Roman" w:cs="Times New Roman"/>
        </w:rPr>
        <w:t xml:space="preserve"> d’étude</w:t>
      </w:r>
      <w:r w:rsidR="00503441" w:rsidRPr="0000234D">
        <w:rPr>
          <w:rFonts w:ascii="Times New Roman" w:hAnsi="Times New Roman" w:cs="Times New Roman"/>
        </w:rPr>
        <w:t xml:space="preserve">. Tous ces biais </w:t>
      </w:r>
      <w:r w:rsidR="00F04EF3" w:rsidRPr="0000234D">
        <w:rPr>
          <w:rFonts w:ascii="Times New Roman" w:hAnsi="Times New Roman" w:cs="Times New Roman"/>
        </w:rPr>
        <w:t xml:space="preserve">méthodologiques </w:t>
      </w:r>
      <w:r w:rsidR="00503441" w:rsidRPr="0000234D">
        <w:rPr>
          <w:rFonts w:ascii="Times New Roman" w:hAnsi="Times New Roman" w:cs="Times New Roman"/>
        </w:rPr>
        <w:t xml:space="preserve">ne sont évidemment pas faciles à éviter, mais </w:t>
      </w:r>
      <w:r w:rsidR="00503441" w:rsidRPr="00E25837">
        <w:rPr>
          <w:rFonts w:ascii="Times New Roman" w:hAnsi="Times New Roman" w:cs="Times New Roman"/>
        </w:rPr>
        <w:t xml:space="preserve">ils peuvent être amoindris en </w:t>
      </w:r>
      <w:r w:rsidR="00F04EF3" w:rsidRPr="00E25837">
        <w:rPr>
          <w:rFonts w:ascii="Times New Roman" w:hAnsi="Times New Roman" w:cs="Times New Roman"/>
        </w:rPr>
        <w:t xml:space="preserve">adoptant une démarche scientifique claire et transparente. La présente section s’attachera ainsi à présenter et offrir </w:t>
      </w:r>
      <w:r w:rsidR="0000234D">
        <w:rPr>
          <w:rFonts w:ascii="Times New Roman" w:hAnsi="Times New Roman" w:cs="Times New Roman"/>
        </w:rPr>
        <w:t xml:space="preserve">un point de vue critique sur la démarche méthodologique adoptée </w:t>
      </w:r>
      <w:r w:rsidR="00885460" w:rsidRPr="00E25837">
        <w:rPr>
          <w:rFonts w:ascii="Times New Roman" w:hAnsi="Times New Roman" w:cs="Times New Roman"/>
        </w:rPr>
        <w:t>afin de dégager les normes composant le modèle d’accord sur l’investissement de l’Union européenne</w:t>
      </w:r>
      <w:r w:rsidR="00F04EF3" w:rsidRPr="00E25837">
        <w:rPr>
          <w:rFonts w:ascii="Times New Roman" w:hAnsi="Times New Roman" w:cs="Times New Roman"/>
        </w:rPr>
        <w:t>.</w:t>
      </w:r>
    </w:p>
    <w:p w14:paraId="6C8BAE4E" w14:textId="7CD6F553" w:rsidR="004D58A9" w:rsidRPr="006A5780" w:rsidRDefault="00111ADF" w:rsidP="006A5780">
      <w:pPr>
        <w:pStyle w:val="Titre2"/>
        <w:spacing w:before="120" w:after="120"/>
        <w:jc w:val="both"/>
        <w:rPr>
          <w:rFonts w:ascii="Times New Roman" w:hAnsi="Times New Roman" w:cs="Times New Roman"/>
          <w:color w:val="auto"/>
          <w:u w:val="single"/>
        </w:rPr>
      </w:pPr>
      <w:bookmarkStart w:id="10" w:name="_Toc313471462"/>
      <w:r w:rsidRPr="006A5780">
        <w:rPr>
          <w:rFonts w:ascii="Times New Roman" w:hAnsi="Times New Roman" w:cs="Times New Roman"/>
          <w:color w:val="auto"/>
          <w:u w:val="single"/>
        </w:rPr>
        <w:t xml:space="preserve">3.1 </w:t>
      </w:r>
      <w:r w:rsidR="00CC3FA7" w:rsidRPr="006A5780">
        <w:rPr>
          <w:rFonts w:ascii="Times New Roman" w:hAnsi="Times New Roman" w:cs="Times New Roman"/>
          <w:color w:val="auto"/>
          <w:u w:val="single"/>
        </w:rPr>
        <w:t>L’AECG et l’ALEUES : les premiers pas vers le développement d’un modèle européen</w:t>
      </w:r>
      <w:bookmarkEnd w:id="10"/>
    </w:p>
    <w:p w14:paraId="48FA4D51" w14:textId="637C21C6" w:rsidR="004D58A9" w:rsidRPr="00E25837" w:rsidRDefault="00F01634" w:rsidP="00BA43F7">
      <w:pPr>
        <w:spacing w:before="120" w:after="120" w:line="360" w:lineRule="auto"/>
        <w:jc w:val="both"/>
        <w:rPr>
          <w:rFonts w:ascii="Times New Roman" w:hAnsi="Times New Roman" w:cs="Times New Roman"/>
        </w:rPr>
      </w:pPr>
      <w:r w:rsidRPr="00E25837">
        <w:rPr>
          <w:rFonts w:ascii="Times New Roman" w:hAnsi="Times New Roman" w:cs="Times New Roman"/>
        </w:rPr>
        <w:t>En vue de déterminer l’origine des normes présentes au sein du modèle d’accord sur l’investissement de l’Union européenne, le premier point à souligner est qu’</w:t>
      </w:r>
      <w:r w:rsidR="0000234D">
        <w:rPr>
          <w:rFonts w:ascii="Times New Roman" w:hAnsi="Times New Roman" w:cs="Times New Roman"/>
        </w:rPr>
        <w:t xml:space="preserve">il n’existe </w:t>
      </w:r>
      <w:r w:rsidRPr="00E25837">
        <w:rPr>
          <w:rFonts w:ascii="Times New Roman" w:hAnsi="Times New Roman" w:cs="Times New Roman"/>
        </w:rPr>
        <w:t>actuellement aucun modèle européen. Ains</w:t>
      </w:r>
      <w:r w:rsidR="00DB5644" w:rsidRPr="00E25837">
        <w:rPr>
          <w:rFonts w:ascii="Times New Roman" w:hAnsi="Times New Roman" w:cs="Times New Roman"/>
        </w:rPr>
        <w:t xml:space="preserve">i, contrairement à la pratique de plusieurs pays développés, </w:t>
      </w:r>
      <w:r w:rsidR="00D43F31">
        <w:rPr>
          <w:rFonts w:ascii="Times New Roman" w:hAnsi="Times New Roman" w:cs="Times New Roman"/>
        </w:rPr>
        <w:t>notamment européens</w:t>
      </w:r>
      <w:r w:rsidR="00A80C1E">
        <w:rPr>
          <w:rStyle w:val="Marquenotebasdepage"/>
          <w:rFonts w:ascii="Times New Roman" w:hAnsi="Times New Roman" w:cs="Times New Roman"/>
        </w:rPr>
        <w:footnoteReference w:id="2"/>
      </w:r>
      <w:r w:rsidR="00D43F31">
        <w:rPr>
          <w:rFonts w:ascii="Times New Roman" w:hAnsi="Times New Roman" w:cs="Times New Roman"/>
        </w:rPr>
        <w:t xml:space="preserve"> (</w:t>
      </w:r>
      <w:proofErr w:type="spellStart"/>
      <w:r w:rsidR="00D43F31">
        <w:rPr>
          <w:rFonts w:ascii="Times New Roman" w:hAnsi="Times New Roman" w:cs="Times New Roman"/>
        </w:rPr>
        <w:t>Clodfelter</w:t>
      </w:r>
      <w:proofErr w:type="spellEnd"/>
      <w:r w:rsidR="00DB5644" w:rsidRPr="00E25837">
        <w:rPr>
          <w:rFonts w:ascii="Times New Roman" w:hAnsi="Times New Roman" w:cs="Times New Roman"/>
        </w:rPr>
        <w:t xml:space="preserve"> 2009</w:t>
      </w:r>
      <w:r w:rsidR="00D43F31">
        <w:rPr>
          <w:rFonts w:ascii="Times New Roman" w:hAnsi="Times New Roman" w:cs="Times New Roman"/>
        </w:rPr>
        <w:t xml:space="preserve">; </w:t>
      </w:r>
      <w:proofErr w:type="spellStart"/>
      <w:r w:rsidR="00D43F31">
        <w:rPr>
          <w:rFonts w:ascii="Times New Roman" w:hAnsi="Times New Roman" w:cs="Times New Roman"/>
        </w:rPr>
        <w:t>Bungenberg</w:t>
      </w:r>
      <w:proofErr w:type="spellEnd"/>
      <w:r w:rsidR="00D43F31">
        <w:rPr>
          <w:rFonts w:ascii="Times New Roman" w:hAnsi="Times New Roman" w:cs="Times New Roman"/>
        </w:rPr>
        <w:t xml:space="preserve"> et </w:t>
      </w:r>
      <w:proofErr w:type="spellStart"/>
      <w:r w:rsidR="00D43F31">
        <w:rPr>
          <w:rFonts w:ascii="Times New Roman" w:hAnsi="Times New Roman" w:cs="Times New Roman"/>
        </w:rPr>
        <w:t>Reinisch</w:t>
      </w:r>
      <w:proofErr w:type="spellEnd"/>
      <w:r w:rsidR="00614EDC">
        <w:rPr>
          <w:rFonts w:ascii="Times New Roman" w:hAnsi="Times New Roman" w:cs="Times New Roman"/>
        </w:rPr>
        <w:t xml:space="preserve"> 2014</w:t>
      </w:r>
      <w:r w:rsidR="00DB5644" w:rsidRPr="00E25837">
        <w:rPr>
          <w:rFonts w:ascii="Times New Roman" w:hAnsi="Times New Roman" w:cs="Times New Roman"/>
        </w:rPr>
        <w:t>), l’Union européenne n’a pas publié de m</w:t>
      </w:r>
      <w:r w:rsidR="00614EDC">
        <w:rPr>
          <w:rFonts w:ascii="Times New Roman" w:hAnsi="Times New Roman" w:cs="Times New Roman"/>
        </w:rPr>
        <w:t xml:space="preserve">odèle d’accord qui pourrait servir </w:t>
      </w:r>
      <w:r w:rsidR="00DB5644" w:rsidRPr="00E25837">
        <w:rPr>
          <w:rFonts w:ascii="Times New Roman" w:hAnsi="Times New Roman" w:cs="Times New Roman"/>
        </w:rPr>
        <w:t xml:space="preserve">de base à sa négociation de traités bilatéraux d’investissement. </w:t>
      </w:r>
      <w:r w:rsidR="00326FF5" w:rsidRPr="00E25837">
        <w:rPr>
          <w:rFonts w:ascii="Times New Roman" w:hAnsi="Times New Roman" w:cs="Times New Roman"/>
        </w:rPr>
        <w:t>Un tel document aurait bien évidemment été très utile dans le cadre du présent travail de recherche puisqu’il aurait permis d</w:t>
      </w:r>
      <w:r w:rsidR="00F85AA8">
        <w:rPr>
          <w:rFonts w:ascii="Times New Roman" w:hAnsi="Times New Roman" w:cs="Times New Roman"/>
        </w:rPr>
        <w:t>’établir</w:t>
      </w:r>
      <w:r w:rsidR="00326FF5" w:rsidRPr="00E25837">
        <w:rPr>
          <w:rFonts w:ascii="Times New Roman" w:hAnsi="Times New Roman" w:cs="Times New Roman"/>
        </w:rPr>
        <w:t xml:space="preserve"> rapidement les normes </w:t>
      </w:r>
      <w:r w:rsidR="0000234D">
        <w:rPr>
          <w:rFonts w:ascii="Times New Roman" w:hAnsi="Times New Roman" w:cs="Times New Roman"/>
        </w:rPr>
        <w:t xml:space="preserve">auxquelles </w:t>
      </w:r>
      <w:r w:rsidR="00326FF5" w:rsidRPr="00E25837">
        <w:rPr>
          <w:rFonts w:ascii="Times New Roman" w:hAnsi="Times New Roman" w:cs="Times New Roman"/>
        </w:rPr>
        <w:t>l’Union européenne désire être liée vis-à-vis de ses partenaires commerciaux.</w:t>
      </w:r>
      <w:r w:rsidR="00E34CD9">
        <w:rPr>
          <w:rFonts w:ascii="Times New Roman" w:hAnsi="Times New Roman" w:cs="Times New Roman"/>
        </w:rPr>
        <w:t xml:space="preserve"> Dans les prochaines sections, lorsqu’il sera fait mention d’un modèle d’accord sur l’investissement européen, il sera en somme question de l’ébauche d’accord dégagé suivant la démarche présentée ci-après.</w:t>
      </w:r>
    </w:p>
    <w:p w14:paraId="1AB9361E" w14:textId="4A817E69" w:rsidR="00102276" w:rsidRPr="00E25837" w:rsidRDefault="00F85AA8" w:rsidP="00BA43F7">
      <w:pPr>
        <w:spacing w:before="120" w:after="120" w:line="360" w:lineRule="auto"/>
        <w:jc w:val="both"/>
        <w:rPr>
          <w:rFonts w:ascii="Times New Roman" w:hAnsi="Times New Roman" w:cs="Times New Roman"/>
        </w:rPr>
      </w:pPr>
      <w:r>
        <w:rPr>
          <w:rFonts w:ascii="Times New Roman" w:hAnsi="Times New Roman" w:cs="Times New Roman"/>
        </w:rPr>
        <w:t>Ainsi, e</w:t>
      </w:r>
      <w:r w:rsidR="00326FF5" w:rsidRPr="00E25837">
        <w:rPr>
          <w:rFonts w:ascii="Times New Roman" w:hAnsi="Times New Roman" w:cs="Times New Roman"/>
        </w:rPr>
        <w:t>n l’absence d’un modèle d’accord sur l’investis</w:t>
      </w:r>
      <w:r w:rsidR="00862DC7">
        <w:rPr>
          <w:rFonts w:ascii="Times New Roman" w:hAnsi="Times New Roman" w:cs="Times New Roman"/>
        </w:rPr>
        <w:t>sement européen, l’AECG, soit l’un des</w:t>
      </w:r>
      <w:r w:rsidR="00326FF5" w:rsidRPr="00E25837">
        <w:rPr>
          <w:rFonts w:ascii="Times New Roman" w:hAnsi="Times New Roman" w:cs="Times New Roman"/>
        </w:rPr>
        <w:t xml:space="preserve"> plus récent</w:t>
      </w:r>
      <w:r w:rsidR="00862DC7">
        <w:rPr>
          <w:rFonts w:ascii="Times New Roman" w:hAnsi="Times New Roman" w:cs="Times New Roman"/>
        </w:rPr>
        <w:t>s accord</w:t>
      </w:r>
      <w:r w:rsidR="0000234D">
        <w:rPr>
          <w:rFonts w:ascii="Times New Roman" w:hAnsi="Times New Roman" w:cs="Times New Roman"/>
        </w:rPr>
        <w:t>s</w:t>
      </w:r>
      <w:r w:rsidR="00862DC7">
        <w:rPr>
          <w:rFonts w:ascii="Times New Roman" w:hAnsi="Times New Roman" w:cs="Times New Roman"/>
        </w:rPr>
        <w:t xml:space="preserve"> commerciaux de l’Europe et l’un des deux seuls à comprendre</w:t>
      </w:r>
      <w:r w:rsidR="00326FF5" w:rsidRPr="00E25837">
        <w:rPr>
          <w:rFonts w:ascii="Times New Roman" w:hAnsi="Times New Roman" w:cs="Times New Roman"/>
        </w:rPr>
        <w:t xml:space="preserve"> un chapitre sur l’investissement au moment d’écrire ces lignes, a</w:t>
      </w:r>
      <w:r w:rsidR="00102276" w:rsidRPr="00E25837">
        <w:rPr>
          <w:rFonts w:ascii="Times New Roman" w:hAnsi="Times New Roman" w:cs="Times New Roman"/>
        </w:rPr>
        <w:t xml:space="preserve"> </w:t>
      </w:r>
      <w:r w:rsidR="00614EDC">
        <w:rPr>
          <w:rFonts w:ascii="Times New Roman" w:hAnsi="Times New Roman" w:cs="Times New Roman"/>
        </w:rPr>
        <w:t xml:space="preserve">par défaut </w:t>
      </w:r>
      <w:r w:rsidR="00326FF5" w:rsidRPr="00E25837">
        <w:rPr>
          <w:rFonts w:ascii="Times New Roman" w:hAnsi="Times New Roman" w:cs="Times New Roman"/>
        </w:rPr>
        <w:t xml:space="preserve">été utilisé afin de dégager les normes </w:t>
      </w:r>
      <w:r w:rsidR="00102276" w:rsidRPr="00E25837">
        <w:rPr>
          <w:rFonts w:ascii="Times New Roman" w:hAnsi="Times New Roman" w:cs="Times New Roman"/>
        </w:rPr>
        <w:t>qui semblent refléter la pratique europ</w:t>
      </w:r>
      <w:r w:rsidR="0000234D">
        <w:rPr>
          <w:rFonts w:ascii="Times New Roman" w:hAnsi="Times New Roman" w:cs="Times New Roman"/>
        </w:rPr>
        <w:t>éenne en matière de négociation</w:t>
      </w:r>
      <w:r w:rsidR="00102276" w:rsidRPr="00E25837">
        <w:rPr>
          <w:rFonts w:ascii="Times New Roman" w:hAnsi="Times New Roman" w:cs="Times New Roman"/>
        </w:rPr>
        <w:t xml:space="preserve"> de futurs traités bilatéraux d’investissement. Ce choix d’utiliser l’AECG comme base de recherche demandait alors de distinguer les norm</w:t>
      </w:r>
      <w:r w:rsidR="00614EDC">
        <w:rPr>
          <w:rFonts w:ascii="Times New Roman" w:hAnsi="Times New Roman" w:cs="Times New Roman"/>
        </w:rPr>
        <w:t>es « canadiennes » des normes « </w:t>
      </w:r>
      <w:r w:rsidR="00102276" w:rsidRPr="00E25837">
        <w:rPr>
          <w:rFonts w:ascii="Times New Roman" w:hAnsi="Times New Roman" w:cs="Times New Roman"/>
        </w:rPr>
        <w:t xml:space="preserve">européennes ». Un traité est en effet généralement le résultat d’intenses négociations qui peuvent </w:t>
      </w:r>
      <w:r w:rsidR="0000234D">
        <w:rPr>
          <w:rFonts w:ascii="Times New Roman" w:hAnsi="Times New Roman" w:cs="Times New Roman"/>
        </w:rPr>
        <w:t>s’étendre</w:t>
      </w:r>
      <w:r w:rsidR="00102276" w:rsidRPr="00E25837">
        <w:rPr>
          <w:rFonts w:ascii="Times New Roman" w:hAnsi="Times New Roman" w:cs="Times New Roman"/>
        </w:rPr>
        <w:t xml:space="preserve"> sur plusieurs années</w:t>
      </w:r>
      <w:r w:rsidR="00614EDC">
        <w:rPr>
          <w:rFonts w:ascii="Times New Roman" w:hAnsi="Times New Roman" w:cs="Times New Roman"/>
        </w:rPr>
        <w:t xml:space="preserve"> et qui amènent chaque partie à adopter des normes qu’ils auraient originellement </w:t>
      </w:r>
      <w:r w:rsidR="0000234D">
        <w:rPr>
          <w:rFonts w:ascii="Times New Roman" w:hAnsi="Times New Roman" w:cs="Times New Roman"/>
        </w:rPr>
        <w:t>rejetées</w:t>
      </w:r>
      <w:r w:rsidR="00102276" w:rsidRPr="00E25837">
        <w:rPr>
          <w:rFonts w:ascii="Times New Roman" w:hAnsi="Times New Roman" w:cs="Times New Roman"/>
        </w:rPr>
        <w:t xml:space="preserve">. </w:t>
      </w:r>
      <w:r w:rsidR="003D5C59" w:rsidRPr="00E25837">
        <w:rPr>
          <w:rFonts w:ascii="Times New Roman" w:hAnsi="Times New Roman" w:cs="Times New Roman"/>
        </w:rPr>
        <w:t xml:space="preserve">À ce sujet, </w:t>
      </w:r>
      <w:r w:rsidR="00102276" w:rsidRPr="00E25837">
        <w:rPr>
          <w:rFonts w:ascii="Times New Roman" w:hAnsi="Times New Roman" w:cs="Times New Roman"/>
        </w:rPr>
        <w:t>l’AEC</w:t>
      </w:r>
      <w:r w:rsidR="003D5C59" w:rsidRPr="00E25837">
        <w:rPr>
          <w:rFonts w:ascii="Times New Roman" w:hAnsi="Times New Roman" w:cs="Times New Roman"/>
        </w:rPr>
        <w:t>G</w:t>
      </w:r>
      <w:r w:rsidR="00102276" w:rsidRPr="00E25837">
        <w:rPr>
          <w:rFonts w:ascii="Times New Roman" w:hAnsi="Times New Roman" w:cs="Times New Roman"/>
        </w:rPr>
        <w:t xml:space="preserve"> est</w:t>
      </w:r>
      <w:r w:rsidR="003D5C59" w:rsidRPr="00E25837">
        <w:rPr>
          <w:rFonts w:ascii="Times New Roman" w:hAnsi="Times New Roman" w:cs="Times New Roman"/>
        </w:rPr>
        <w:t xml:space="preserve"> un excellent exemple puisqu’il aura </w:t>
      </w:r>
      <w:r w:rsidR="00614EDC">
        <w:rPr>
          <w:rFonts w:ascii="Times New Roman" w:hAnsi="Times New Roman" w:cs="Times New Roman"/>
        </w:rPr>
        <w:t>nécessité</w:t>
      </w:r>
      <w:r w:rsidR="003D5C59" w:rsidRPr="00E25837">
        <w:rPr>
          <w:rFonts w:ascii="Times New Roman" w:hAnsi="Times New Roman" w:cs="Times New Roman"/>
        </w:rPr>
        <w:t xml:space="preserve"> près de quatre </w:t>
      </w:r>
      <w:r w:rsidR="00845258" w:rsidRPr="00E25837">
        <w:rPr>
          <w:rFonts w:ascii="Times New Roman" w:hAnsi="Times New Roman" w:cs="Times New Roman"/>
        </w:rPr>
        <w:t>ans</w:t>
      </w:r>
      <w:r w:rsidR="00614EDC">
        <w:rPr>
          <w:rFonts w:ascii="Times New Roman" w:hAnsi="Times New Roman" w:cs="Times New Roman"/>
        </w:rPr>
        <w:t xml:space="preserve"> de négociation</w:t>
      </w:r>
      <w:r w:rsidR="00845258" w:rsidRPr="00E25837">
        <w:rPr>
          <w:rFonts w:ascii="Times New Roman" w:hAnsi="Times New Roman" w:cs="Times New Roman"/>
        </w:rPr>
        <w:t xml:space="preserve"> pour </w:t>
      </w:r>
      <w:r w:rsidR="00845258" w:rsidRPr="00E25837">
        <w:rPr>
          <w:rFonts w:ascii="Times New Roman" w:hAnsi="Times New Roman" w:cs="Times New Roman"/>
        </w:rPr>
        <w:lastRenderedPageBreak/>
        <w:t>arriver à une entente</w:t>
      </w:r>
      <w:r w:rsidR="00614EDC">
        <w:rPr>
          <w:rFonts w:ascii="Times New Roman" w:hAnsi="Times New Roman" w:cs="Times New Roman"/>
        </w:rPr>
        <w:t>,</w:t>
      </w:r>
      <w:r w:rsidR="00845258" w:rsidRPr="00E25837">
        <w:rPr>
          <w:rFonts w:ascii="Times New Roman" w:hAnsi="Times New Roman" w:cs="Times New Roman"/>
        </w:rPr>
        <w:t xml:space="preserve"> et </w:t>
      </w:r>
      <w:r w:rsidR="00614EDC">
        <w:rPr>
          <w:rFonts w:ascii="Times New Roman" w:hAnsi="Times New Roman" w:cs="Times New Roman"/>
        </w:rPr>
        <w:t>cela,</w:t>
      </w:r>
      <w:r w:rsidR="00845258" w:rsidRPr="00E25837">
        <w:rPr>
          <w:rFonts w:ascii="Times New Roman" w:hAnsi="Times New Roman" w:cs="Times New Roman"/>
        </w:rPr>
        <w:t xml:space="preserve"> sans compter les années de négociations informelles préalable</w:t>
      </w:r>
      <w:r>
        <w:rPr>
          <w:rFonts w:ascii="Times New Roman" w:hAnsi="Times New Roman" w:cs="Times New Roman"/>
        </w:rPr>
        <w:t>s</w:t>
      </w:r>
      <w:r w:rsidR="00845258" w:rsidRPr="00E25837">
        <w:rPr>
          <w:rFonts w:ascii="Times New Roman" w:hAnsi="Times New Roman" w:cs="Times New Roman"/>
        </w:rPr>
        <w:t>. Pierre-Marc Johnson, chef de l’équipe de négociation du Québec, et deu</w:t>
      </w:r>
      <w:r w:rsidR="00614EDC">
        <w:rPr>
          <w:rFonts w:ascii="Times New Roman" w:hAnsi="Times New Roman" w:cs="Times New Roman"/>
        </w:rPr>
        <w:t>x membres de son équipe soulignaie</w:t>
      </w:r>
      <w:r w:rsidR="00845258" w:rsidRPr="00E25837">
        <w:rPr>
          <w:rFonts w:ascii="Times New Roman" w:hAnsi="Times New Roman" w:cs="Times New Roman"/>
        </w:rPr>
        <w:t xml:space="preserve">nt </w:t>
      </w:r>
      <w:r w:rsidR="00614EDC">
        <w:rPr>
          <w:rFonts w:ascii="Times New Roman" w:hAnsi="Times New Roman" w:cs="Times New Roman"/>
        </w:rPr>
        <w:t>justement suite à la conclusion des négociations</w:t>
      </w:r>
      <w:r w:rsidR="00845258" w:rsidRPr="00E25837">
        <w:rPr>
          <w:rFonts w:ascii="Times New Roman" w:hAnsi="Times New Roman" w:cs="Times New Roman"/>
        </w:rPr>
        <w:t xml:space="preserve"> que le Québec a joué un rôle </w:t>
      </w:r>
      <w:r w:rsidR="00614EDC">
        <w:rPr>
          <w:rFonts w:ascii="Times New Roman" w:hAnsi="Times New Roman" w:cs="Times New Roman"/>
        </w:rPr>
        <w:t>pro</w:t>
      </w:r>
      <w:r w:rsidR="00845258" w:rsidRPr="00E25837">
        <w:rPr>
          <w:rFonts w:ascii="Times New Roman" w:hAnsi="Times New Roman" w:cs="Times New Roman"/>
        </w:rPr>
        <w:t xml:space="preserve">actif auprès de l’Europe au cours des deux années précédant le lancement officiel des négociations de l’AECG en 2009 (2013 : 561). Dans </w:t>
      </w:r>
      <w:r w:rsidR="003D5C59" w:rsidRPr="00E25837">
        <w:rPr>
          <w:rFonts w:ascii="Times New Roman" w:hAnsi="Times New Roman" w:cs="Times New Roman"/>
        </w:rPr>
        <w:t>ce contexte, il peut devenir difficile de discerner quelle partie a proposé d’inclure ou non une norme.</w:t>
      </w:r>
      <w:r w:rsidR="00845258" w:rsidRPr="00E25837">
        <w:rPr>
          <w:rFonts w:ascii="Times New Roman" w:hAnsi="Times New Roman" w:cs="Times New Roman"/>
        </w:rPr>
        <w:t xml:space="preserve"> </w:t>
      </w:r>
    </w:p>
    <w:p w14:paraId="5F781B7C" w14:textId="40FD5D5C" w:rsidR="00614EDC" w:rsidRDefault="00845258" w:rsidP="00BA43F7">
      <w:pPr>
        <w:spacing w:before="120" w:after="120" w:line="360" w:lineRule="auto"/>
        <w:jc w:val="both"/>
        <w:rPr>
          <w:rFonts w:ascii="Times New Roman" w:hAnsi="Times New Roman" w:cs="Times New Roman"/>
        </w:rPr>
      </w:pPr>
      <w:r w:rsidRPr="00E25837">
        <w:rPr>
          <w:rFonts w:ascii="Times New Roman" w:hAnsi="Times New Roman" w:cs="Times New Roman"/>
        </w:rPr>
        <w:t>Pour relever ce défi, le contenu du chapitre sur l’investissement a été comparé</w:t>
      </w:r>
      <w:r w:rsidR="001076C7" w:rsidRPr="00E25837">
        <w:rPr>
          <w:rFonts w:ascii="Times New Roman" w:hAnsi="Times New Roman" w:cs="Times New Roman"/>
        </w:rPr>
        <w:t>, normes par normes,</w:t>
      </w:r>
      <w:r w:rsidRPr="00E25837">
        <w:rPr>
          <w:rFonts w:ascii="Times New Roman" w:hAnsi="Times New Roman" w:cs="Times New Roman"/>
        </w:rPr>
        <w:t xml:space="preserve"> </w:t>
      </w:r>
      <w:r w:rsidR="001076C7" w:rsidRPr="00E25837">
        <w:rPr>
          <w:rFonts w:ascii="Times New Roman" w:hAnsi="Times New Roman" w:cs="Times New Roman"/>
        </w:rPr>
        <w:t xml:space="preserve">à celui de l’accord de libre-échange entre le Canada et la Corée </w:t>
      </w:r>
      <w:r w:rsidR="00C87D1A" w:rsidRPr="00E25837">
        <w:rPr>
          <w:rFonts w:ascii="Times New Roman" w:hAnsi="Times New Roman" w:cs="Times New Roman"/>
        </w:rPr>
        <w:t xml:space="preserve">du Sud </w:t>
      </w:r>
      <w:r w:rsidR="001076C7" w:rsidRPr="00E25837">
        <w:rPr>
          <w:rFonts w:ascii="Times New Roman" w:hAnsi="Times New Roman" w:cs="Times New Roman"/>
        </w:rPr>
        <w:t>(ALECC). La comparaison avec ce dernier, soit le plus récent accord ratifié par le Canada, a ainsi permis de mettre en lumière les normes qui peuvent faire partie de la plus récente pratique du Canada en matière d’investissement. Les éléments absents du chapitre sur l’investissement de l’ALECC ont alors, à prime abord, été cons</w:t>
      </w:r>
      <w:r w:rsidR="00614EDC">
        <w:rPr>
          <w:rFonts w:ascii="Times New Roman" w:hAnsi="Times New Roman" w:cs="Times New Roman"/>
        </w:rPr>
        <w:t>idéré</w:t>
      </w:r>
      <w:r w:rsidR="0000234D">
        <w:rPr>
          <w:rFonts w:ascii="Times New Roman" w:hAnsi="Times New Roman" w:cs="Times New Roman"/>
        </w:rPr>
        <w:t>s</w:t>
      </w:r>
      <w:r w:rsidR="00614EDC">
        <w:rPr>
          <w:rFonts w:ascii="Times New Roman" w:hAnsi="Times New Roman" w:cs="Times New Roman"/>
        </w:rPr>
        <w:t xml:space="preserve"> d’origine européenne</w:t>
      </w:r>
      <w:r w:rsidR="001076C7" w:rsidRPr="00E25837">
        <w:rPr>
          <w:rFonts w:ascii="Times New Roman" w:hAnsi="Times New Roman" w:cs="Times New Roman"/>
        </w:rPr>
        <w:t xml:space="preserve">. </w:t>
      </w:r>
      <w:r w:rsidR="00114B34" w:rsidRPr="00E25837">
        <w:rPr>
          <w:rFonts w:ascii="Times New Roman" w:hAnsi="Times New Roman" w:cs="Times New Roman"/>
        </w:rPr>
        <w:t>Cette comparaison n’est</w:t>
      </w:r>
      <w:r w:rsidR="001076C7" w:rsidRPr="00E25837">
        <w:rPr>
          <w:rFonts w:ascii="Times New Roman" w:hAnsi="Times New Roman" w:cs="Times New Roman"/>
        </w:rPr>
        <w:t xml:space="preserve"> cependant pas suffisante puisqu’il </w:t>
      </w:r>
      <w:r w:rsidR="00C87D1A" w:rsidRPr="00E25837">
        <w:rPr>
          <w:rFonts w:ascii="Times New Roman" w:hAnsi="Times New Roman" w:cs="Times New Roman"/>
        </w:rPr>
        <w:t xml:space="preserve">est possible qu’une divergence entre les deux chapitres provienne en réalité </w:t>
      </w:r>
      <w:r w:rsidR="00F85AA8">
        <w:rPr>
          <w:rFonts w:ascii="Times New Roman" w:hAnsi="Times New Roman" w:cs="Times New Roman"/>
        </w:rPr>
        <w:t xml:space="preserve">non </w:t>
      </w:r>
      <w:r w:rsidR="00C87D1A" w:rsidRPr="00E25837">
        <w:rPr>
          <w:rFonts w:ascii="Times New Roman" w:hAnsi="Times New Roman" w:cs="Times New Roman"/>
        </w:rPr>
        <w:t>pas de l’Europe, mais bien d’une proposition coréenne adoptée au sein de l’ALECC</w:t>
      </w:r>
      <w:r w:rsidR="00614EDC">
        <w:rPr>
          <w:rFonts w:ascii="Times New Roman" w:hAnsi="Times New Roman" w:cs="Times New Roman"/>
        </w:rPr>
        <w:t xml:space="preserve"> ou encore d’</w:t>
      </w:r>
      <w:r w:rsidR="00862DC7">
        <w:rPr>
          <w:rFonts w:ascii="Times New Roman" w:hAnsi="Times New Roman" w:cs="Times New Roman"/>
        </w:rPr>
        <w:t xml:space="preserve">une approche canadienne différente </w:t>
      </w:r>
      <w:r w:rsidR="00F85AA8">
        <w:rPr>
          <w:rFonts w:ascii="Times New Roman" w:hAnsi="Times New Roman" w:cs="Times New Roman"/>
        </w:rPr>
        <w:t>pour chacune des</w:t>
      </w:r>
      <w:r w:rsidR="00862DC7">
        <w:rPr>
          <w:rFonts w:ascii="Times New Roman" w:hAnsi="Times New Roman" w:cs="Times New Roman"/>
        </w:rPr>
        <w:t xml:space="preserve"> deux négociations</w:t>
      </w:r>
      <w:r w:rsidR="00C87D1A" w:rsidRPr="00E25837">
        <w:rPr>
          <w:rFonts w:ascii="Times New Roman" w:hAnsi="Times New Roman" w:cs="Times New Roman"/>
        </w:rPr>
        <w:t xml:space="preserve">. </w:t>
      </w:r>
    </w:p>
    <w:p w14:paraId="18F64EDB" w14:textId="227028DD" w:rsidR="00E63359" w:rsidRDefault="00C87D1A" w:rsidP="00BA43F7">
      <w:pPr>
        <w:spacing w:before="120" w:after="120" w:line="360" w:lineRule="auto"/>
        <w:jc w:val="both"/>
        <w:rPr>
          <w:rFonts w:ascii="Times New Roman" w:hAnsi="Times New Roman" w:cs="Times New Roman"/>
        </w:rPr>
      </w:pPr>
      <w:r w:rsidRPr="00E25837">
        <w:rPr>
          <w:rFonts w:ascii="Times New Roman" w:hAnsi="Times New Roman" w:cs="Times New Roman"/>
        </w:rPr>
        <w:t xml:space="preserve">Pour </w:t>
      </w:r>
      <w:r w:rsidR="0000234D">
        <w:rPr>
          <w:rFonts w:ascii="Times New Roman" w:hAnsi="Times New Roman" w:cs="Times New Roman"/>
        </w:rPr>
        <w:t>neutraliser</w:t>
      </w:r>
      <w:r w:rsidRPr="00E25837">
        <w:rPr>
          <w:rFonts w:ascii="Times New Roman" w:hAnsi="Times New Roman" w:cs="Times New Roman"/>
        </w:rPr>
        <w:t xml:space="preserve"> ce possible biais, l’AECG a en deuxième lieu été comparé avec le seul autre accord de libre-échange de l’Union européenne comprenant à ce jour un chapitre sur l’investissement, soit l’accord </w:t>
      </w:r>
      <w:r w:rsidR="00862DC7">
        <w:rPr>
          <w:rFonts w:ascii="Times New Roman" w:hAnsi="Times New Roman" w:cs="Times New Roman"/>
        </w:rPr>
        <w:t xml:space="preserve">de libre-échange </w:t>
      </w:r>
      <w:r w:rsidRPr="00E25837">
        <w:rPr>
          <w:rFonts w:ascii="Times New Roman" w:hAnsi="Times New Roman" w:cs="Times New Roman"/>
        </w:rPr>
        <w:t>entre l’Union européenne et Singapour</w:t>
      </w:r>
      <w:r w:rsidR="00862DC7">
        <w:rPr>
          <w:rFonts w:ascii="Times New Roman" w:hAnsi="Times New Roman" w:cs="Times New Roman"/>
        </w:rPr>
        <w:t xml:space="preserve"> </w:t>
      </w:r>
      <w:r w:rsidR="00D96207">
        <w:rPr>
          <w:rFonts w:ascii="Times New Roman" w:hAnsi="Times New Roman" w:cs="Times New Roman"/>
        </w:rPr>
        <w:t xml:space="preserve">(ALEUES) </w:t>
      </w:r>
      <w:r w:rsidR="00862DC7">
        <w:rPr>
          <w:rFonts w:ascii="Times New Roman" w:hAnsi="Times New Roman" w:cs="Times New Roman"/>
        </w:rPr>
        <w:t>de 2014</w:t>
      </w:r>
      <w:r w:rsidRPr="00E25837">
        <w:rPr>
          <w:rFonts w:ascii="Times New Roman" w:hAnsi="Times New Roman" w:cs="Times New Roman"/>
        </w:rPr>
        <w:t xml:space="preserve">. </w:t>
      </w:r>
      <w:r w:rsidR="0000234D">
        <w:rPr>
          <w:rFonts w:ascii="Times New Roman" w:hAnsi="Times New Roman" w:cs="Times New Roman"/>
        </w:rPr>
        <w:t>L’idéal</w:t>
      </w:r>
      <w:r w:rsidRPr="00E25837">
        <w:rPr>
          <w:rFonts w:ascii="Times New Roman" w:hAnsi="Times New Roman" w:cs="Times New Roman"/>
        </w:rPr>
        <w:t xml:space="preserve"> aurait été de pouvoir </w:t>
      </w:r>
      <w:r w:rsidR="00862DC7" w:rsidRPr="00E25837">
        <w:rPr>
          <w:rFonts w:ascii="Times New Roman" w:hAnsi="Times New Roman" w:cs="Times New Roman"/>
        </w:rPr>
        <w:t>utiliser</w:t>
      </w:r>
      <w:r w:rsidRPr="00E25837">
        <w:rPr>
          <w:rFonts w:ascii="Times New Roman" w:hAnsi="Times New Roman" w:cs="Times New Roman"/>
        </w:rPr>
        <w:t xml:space="preserve"> l’accord entre l’Union européenne et la Corée de 2011, mais ce dernier ne cont</w:t>
      </w:r>
      <w:r w:rsidR="00862DC7">
        <w:rPr>
          <w:rFonts w:ascii="Times New Roman" w:hAnsi="Times New Roman" w:cs="Times New Roman"/>
        </w:rPr>
        <w:t>ient malheureusement pas de</w:t>
      </w:r>
      <w:r w:rsidRPr="00E25837">
        <w:rPr>
          <w:rFonts w:ascii="Times New Roman" w:hAnsi="Times New Roman" w:cs="Times New Roman"/>
        </w:rPr>
        <w:t xml:space="preserve"> chapitre </w:t>
      </w:r>
      <w:r w:rsidR="00862DC7">
        <w:rPr>
          <w:rFonts w:ascii="Times New Roman" w:hAnsi="Times New Roman" w:cs="Times New Roman"/>
        </w:rPr>
        <w:t xml:space="preserve">complet </w:t>
      </w:r>
      <w:r w:rsidRPr="00E25837">
        <w:rPr>
          <w:rFonts w:ascii="Times New Roman" w:hAnsi="Times New Roman" w:cs="Times New Roman"/>
        </w:rPr>
        <w:t>sur l’investissement même s’il a été ratifié après l’entrée en vigueur du Traité de Li</w:t>
      </w:r>
      <w:r w:rsidR="00D96207">
        <w:rPr>
          <w:rFonts w:ascii="Times New Roman" w:hAnsi="Times New Roman" w:cs="Times New Roman"/>
        </w:rPr>
        <w:t>sbonne.</w:t>
      </w:r>
      <w:r w:rsidR="004F320A">
        <w:rPr>
          <w:rFonts w:ascii="Times New Roman" w:hAnsi="Times New Roman" w:cs="Times New Roman"/>
        </w:rPr>
        <w:t xml:space="preserve"> </w:t>
      </w:r>
      <w:r w:rsidR="00E63359">
        <w:rPr>
          <w:rFonts w:ascii="Times New Roman" w:hAnsi="Times New Roman" w:cs="Times New Roman"/>
        </w:rPr>
        <w:t>Étant donné que l</w:t>
      </w:r>
      <w:r w:rsidR="004F320A">
        <w:rPr>
          <w:rFonts w:ascii="Times New Roman" w:hAnsi="Times New Roman" w:cs="Times New Roman"/>
        </w:rPr>
        <w:t>e</w:t>
      </w:r>
      <w:r w:rsidR="00E63359">
        <w:rPr>
          <w:rFonts w:ascii="Times New Roman" w:hAnsi="Times New Roman" w:cs="Times New Roman"/>
        </w:rPr>
        <w:t>s négociations entre l’Union européenne et la Corée du Sud se sont entamées avant l’entrée en vigueur du Traité de Lisbonne, les Parties à cet accord semblent s’être contentées d’inclure un</w:t>
      </w:r>
      <w:r w:rsidR="004F320A">
        <w:rPr>
          <w:rFonts w:ascii="Times New Roman" w:hAnsi="Times New Roman" w:cs="Times New Roman"/>
        </w:rPr>
        <w:t xml:space="preserve"> chapitre sur les services et l’investissement</w:t>
      </w:r>
      <w:r w:rsidR="00E63359">
        <w:rPr>
          <w:rFonts w:ascii="Times New Roman" w:hAnsi="Times New Roman" w:cs="Times New Roman"/>
        </w:rPr>
        <w:t xml:space="preserve"> q</w:t>
      </w:r>
      <w:r w:rsidR="004F320A">
        <w:rPr>
          <w:rFonts w:ascii="Times New Roman" w:hAnsi="Times New Roman" w:cs="Times New Roman"/>
        </w:rPr>
        <w:t>u</w:t>
      </w:r>
      <w:r w:rsidR="00E63359">
        <w:rPr>
          <w:rFonts w:ascii="Times New Roman" w:hAnsi="Times New Roman" w:cs="Times New Roman"/>
        </w:rPr>
        <w:t>i ne couvre</w:t>
      </w:r>
      <w:r w:rsidR="004F320A">
        <w:rPr>
          <w:rFonts w:ascii="Times New Roman" w:hAnsi="Times New Roman" w:cs="Times New Roman"/>
        </w:rPr>
        <w:t xml:space="preserve"> que les normes en lien avec l’établissement des fournisseurs de service. </w:t>
      </w:r>
      <w:r w:rsidR="00E63359">
        <w:rPr>
          <w:rFonts w:ascii="Times New Roman" w:hAnsi="Times New Roman" w:cs="Times New Roman"/>
        </w:rPr>
        <w:t xml:space="preserve">Ce choix reflétait alors la pratique européenne qui s’était développée pour couvrir cette forme de services depuis le milieu des années 2000. </w:t>
      </w:r>
    </w:p>
    <w:p w14:paraId="60970E3B" w14:textId="54D4B7A9" w:rsidR="00C87D1A" w:rsidRPr="00E25837" w:rsidRDefault="00D96207" w:rsidP="00BA43F7">
      <w:pPr>
        <w:spacing w:before="120" w:after="120" w:line="360" w:lineRule="auto"/>
        <w:jc w:val="both"/>
        <w:rPr>
          <w:rFonts w:ascii="Times New Roman" w:hAnsi="Times New Roman" w:cs="Times New Roman"/>
        </w:rPr>
      </w:pPr>
      <w:r>
        <w:rPr>
          <w:rFonts w:ascii="Times New Roman" w:hAnsi="Times New Roman" w:cs="Times New Roman"/>
        </w:rPr>
        <w:t>La comparaison avec l’ALEUES</w:t>
      </w:r>
      <w:r w:rsidR="00C87D1A" w:rsidRPr="00E25837">
        <w:rPr>
          <w:rFonts w:ascii="Times New Roman" w:hAnsi="Times New Roman" w:cs="Times New Roman"/>
        </w:rPr>
        <w:t xml:space="preserve"> a néanmoins permis de confirmer que certaines normes absentes de l’ALECC semblaient se reproduire au sein de la jeune pratique de l’Union européenne en matière de négociations de traités bilatéraux d’investissement.</w:t>
      </w:r>
      <w:r w:rsidR="00E63359">
        <w:rPr>
          <w:rFonts w:ascii="Times New Roman" w:hAnsi="Times New Roman" w:cs="Times New Roman"/>
        </w:rPr>
        <w:t xml:space="preserve"> </w:t>
      </w:r>
      <w:r w:rsidR="00C87D1A" w:rsidRPr="00E25837">
        <w:rPr>
          <w:rFonts w:ascii="Times New Roman" w:hAnsi="Times New Roman" w:cs="Times New Roman"/>
        </w:rPr>
        <w:t>Ce</w:t>
      </w:r>
      <w:r w:rsidR="00114B34" w:rsidRPr="00E25837">
        <w:rPr>
          <w:rFonts w:ascii="Times New Roman" w:hAnsi="Times New Roman" w:cs="Times New Roman"/>
        </w:rPr>
        <w:t>tte deuxième comparaison ne permet</w:t>
      </w:r>
      <w:r w:rsidR="00C87D1A" w:rsidRPr="00E25837">
        <w:rPr>
          <w:rFonts w:ascii="Times New Roman" w:hAnsi="Times New Roman" w:cs="Times New Roman"/>
        </w:rPr>
        <w:t xml:space="preserve"> toutefois</w:t>
      </w:r>
      <w:r w:rsidR="00114B34" w:rsidRPr="00E25837">
        <w:rPr>
          <w:rFonts w:ascii="Times New Roman" w:hAnsi="Times New Roman" w:cs="Times New Roman"/>
        </w:rPr>
        <w:t xml:space="preserve"> pas encore de</w:t>
      </w:r>
      <w:r w:rsidR="00E63359">
        <w:rPr>
          <w:rFonts w:ascii="Times New Roman" w:hAnsi="Times New Roman" w:cs="Times New Roman"/>
        </w:rPr>
        <w:t xml:space="preserve"> </w:t>
      </w:r>
      <w:r w:rsidR="00C87D1A" w:rsidRPr="00E25837">
        <w:rPr>
          <w:rFonts w:ascii="Times New Roman" w:hAnsi="Times New Roman" w:cs="Times New Roman"/>
        </w:rPr>
        <w:t xml:space="preserve">dégager </w:t>
      </w:r>
      <w:r w:rsidR="00E63359">
        <w:rPr>
          <w:rFonts w:ascii="Times New Roman" w:hAnsi="Times New Roman" w:cs="Times New Roman"/>
        </w:rPr>
        <w:t xml:space="preserve">totalement </w:t>
      </w:r>
      <w:r w:rsidR="00C87D1A" w:rsidRPr="00E25837">
        <w:rPr>
          <w:rFonts w:ascii="Times New Roman" w:hAnsi="Times New Roman" w:cs="Times New Roman"/>
        </w:rPr>
        <w:t>le contenu d</w:t>
      </w:r>
      <w:r w:rsidR="00E63359">
        <w:rPr>
          <w:rFonts w:ascii="Times New Roman" w:hAnsi="Times New Roman" w:cs="Times New Roman"/>
        </w:rPr>
        <w:t xml:space="preserve">’un potentiel modèle d’accord </w:t>
      </w:r>
      <w:r w:rsidR="00E63359">
        <w:rPr>
          <w:rFonts w:ascii="Times New Roman" w:hAnsi="Times New Roman" w:cs="Times New Roman"/>
        </w:rPr>
        <w:lastRenderedPageBreak/>
        <w:t xml:space="preserve">européen </w:t>
      </w:r>
      <w:r w:rsidR="00C87D1A" w:rsidRPr="00E25837">
        <w:rPr>
          <w:rFonts w:ascii="Times New Roman" w:hAnsi="Times New Roman" w:cs="Times New Roman"/>
        </w:rPr>
        <w:t xml:space="preserve">puisqu’elle </w:t>
      </w:r>
      <w:r w:rsidR="00114B34" w:rsidRPr="00E25837">
        <w:rPr>
          <w:rFonts w:ascii="Times New Roman" w:hAnsi="Times New Roman" w:cs="Times New Roman"/>
        </w:rPr>
        <w:t xml:space="preserve">ne met en lumière que les éléments européens qui diffèrent de la pratique canadienne. Le chapitre sur l’investissement de l’AECG a ainsi été comparé aux modèles d’accord de la France de 2006, de l’Allemagne de 2008, de l’Angleterre de </w:t>
      </w:r>
      <w:r w:rsidR="00111ADF" w:rsidRPr="00E25837">
        <w:rPr>
          <w:rFonts w:ascii="Times New Roman" w:hAnsi="Times New Roman" w:cs="Times New Roman"/>
        </w:rPr>
        <w:t>2008 et du plus récent traité bilatéral d’investissement des Pays-Bas de 2014. Cette dernière comparaison a ainsi fait ressortir les éléments présents au sein des deux chapitres sur l’investissement signés par l’Union européenne et qui ne se trouvaient pas dans la précédente pratique des pays européens. Le choix de ces derniers a été fait afin de manière arbitraire, mais dans le but de tenir compte des pays européens ayant signé le plus de traités bilatéraux d’investissement et joué un rôle historiquement important.</w:t>
      </w:r>
    </w:p>
    <w:p w14:paraId="7CEBD066" w14:textId="2CAED6D4" w:rsidR="008E2ECC" w:rsidRPr="00E25837" w:rsidRDefault="00111ADF" w:rsidP="00BA43F7">
      <w:pPr>
        <w:spacing w:before="120" w:after="120" w:line="360" w:lineRule="auto"/>
        <w:jc w:val="both"/>
        <w:rPr>
          <w:rFonts w:ascii="Times New Roman" w:hAnsi="Times New Roman" w:cs="Times New Roman"/>
        </w:rPr>
      </w:pPr>
      <w:r w:rsidRPr="00E25837">
        <w:rPr>
          <w:rFonts w:ascii="Times New Roman" w:hAnsi="Times New Roman" w:cs="Times New Roman"/>
        </w:rPr>
        <w:t>Il est à souligner que même si ces comparaisons ont été présenté</w:t>
      </w:r>
      <w:r w:rsidR="0000234D">
        <w:rPr>
          <w:rFonts w:ascii="Times New Roman" w:hAnsi="Times New Roman" w:cs="Times New Roman"/>
        </w:rPr>
        <w:t>es</w:t>
      </w:r>
      <w:r w:rsidRPr="00E25837">
        <w:rPr>
          <w:rFonts w:ascii="Times New Roman" w:hAnsi="Times New Roman" w:cs="Times New Roman"/>
        </w:rPr>
        <w:t xml:space="preserve"> en trois temps, elles ont en réalité été effectué</w:t>
      </w:r>
      <w:r w:rsidR="0000234D">
        <w:rPr>
          <w:rFonts w:ascii="Times New Roman" w:hAnsi="Times New Roman" w:cs="Times New Roman"/>
        </w:rPr>
        <w:t>es</w:t>
      </w:r>
      <w:r w:rsidRPr="00E25837">
        <w:rPr>
          <w:rFonts w:ascii="Times New Roman" w:hAnsi="Times New Roman" w:cs="Times New Roman"/>
        </w:rPr>
        <w:t xml:space="preserve"> de manière simultanée et dynamique afin de favoriser la visualisation des éléments nouveaux dans la pratique de l’Union européenne. Tous les textes de ces chapitres sur l’investissement ou de ces traités bilatéraux d’investissement ont ainsi été décortiqués et divisés selon les différentes normes au sein d’un tableau qui ne peut malheureusement être mis en annexe étant donné son ampleur. </w:t>
      </w:r>
    </w:p>
    <w:p w14:paraId="09D2F397" w14:textId="09D17009" w:rsidR="008E2ECC" w:rsidRPr="00E25837" w:rsidRDefault="003336A8" w:rsidP="00BA43F7">
      <w:pPr>
        <w:spacing w:before="120" w:after="120" w:line="360" w:lineRule="auto"/>
        <w:jc w:val="both"/>
        <w:rPr>
          <w:rFonts w:ascii="Times New Roman" w:hAnsi="Times New Roman" w:cs="Times New Roman"/>
        </w:rPr>
      </w:pPr>
      <w:r w:rsidRPr="00E25837">
        <w:rPr>
          <w:rFonts w:ascii="Times New Roman" w:hAnsi="Times New Roman" w:cs="Times New Roman"/>
        </w:rPr>
        <w:t xml:space="preserve">Il est ici pertinent de souligner que les normes traitant des services financiers, de la fiscalité et des plaintes </w:t>
      </w:r>
      <w:r w:rsidR="0000234D">
        <w:rPr>
          <w:rFonts w:ascii="Times New Roman" w:hAnsi="Times New Roman" w:cs="Times New Roman"/>
        </w:rPr>
        <w:t>entre États</w:t>
      </w:r>
      <w:r w:rsidRPr="00E25837">
        <w:rPr>
          <w:rFonts w:ascii="Times New Roman" w:hAnsi="Times New Roman" w:cs="Times New Roman"/>
        </w:rPr>
        <w:t xml:space="preserve">, ont été exclues de la présente recherche. Ce choix s’explique pour des raisons pratiques et d’intérêt. </w:t>
      </w:r>
      <w:r w:rsidR="00CB2BBC" w:rsidRPr="00E25837">
        <w:rPr>
          <w:rFonts w:ascii="Times New Roman" w:hAnsi="Times New Roman" w:cs="Times New Roman"/>
        </w:rPr>
        <w:t>En ce qui concerne</w:t>
      </w:r>
      <w:r w:rsidRPr="00E25837">
        <w:rPr>
          <w:rFonts w:ascii="Times New Roman" w:hAnsi="Times New Roman" w:cs="Times New Roman"/>
        </w:rPr>
        <w:t xml:space="preserve"> les services financiers et la fiscalité</w:t>
      </w:r>
      <w:r w:rsidR="00EC05A4" w:rsidRPr="00E25837">
        <w:rPr>
          <w:rFonts w:ascii="Times New Roman" w:hAnsi="Times New Roman" w:cs="Times New Roman"/>
        </w:rPr>
        <w:t>, ce</w:t>
      </w:r>
      <w:r w:rsidRPr="00E25837">
        <w:rPr>
          <w:rFonts w:ascii="Times New Roman" w:hAnsi="Times New Roman" w:cs="Times New Roman"/>
        </w:rPr>
        <w:t xml:space="preserve"> sont deux sujets particulièrement complexes qui sont en soi généralement visés par d’autres chapitres ou  d’autres traités à part entière. L’AECG contient par exemple un chapitre sur les services financiers et l’article X.2 du chapitre sur</w:t>
      </w:r>
      <w:r w:rsidR="00EC05A4" w:rsidRPr="00E25837">
        <w:rPr>
          <w:rFonts w:ascii="Times New Roman" w:hAnsi="Times New Roman" w:cs="Times New Roman"/>
        </w:rPr>
        <w:t xml:space="preserve"> l’investissement indique qu’il faut s’y référer pour les normes applicables aux investissements et aux investisseurs visés par le chapitre sur les </w:t>
      </w:r>
      <w:r w:rsidRPr="00E25837">
        <w:rPr>
          <w:rFonts w:ascii="Times New Roman" w:hAnsi="Times New Roman" w:cs="Times New Roman"/>
        </w:rPr>
        <w:t>services financiers</w:t>
      </w:r>
      <w:r w:rsidR="00CB2BBC" w:rsidRPr="00E25837">
        <w:rPr>
          <w:rFonts w:ascii="Times New Roman" w:hAnsi="Times New Roman" w:cs="Times New Roman"/>
        </w:rPr>
        <w:t>. De même, la question de la taxation est traitée au sein d’un autre chapitre au sein de l’AECG et est souvent l’enjeu de traités sur l</w:t>
      </w:r>
      <w:r w:rsidR="008134F2" w:rsidRPr="00E25837">
        <w:rPr>
          <w:rFonts w:ascii="Times New Roman" w:hAnsi="Times New Roman" w:cs="Times New Roman"/>
        </w:rPr>
        <w:t>a double taxation. Quant aux articles</w:t>
      </w:r>
      <w:r w:rsidR="00CB2BBC" w:rsidRPr="00E25837">
        <w:rPr>
          <w:rFonts w:ascii="Times New Roman" w:hAnsi="Times New Roman" w:cs="Times New Roman"/>
        </w:rPr>
        <w:t xml:space="preserve"> sur les plaintes </w:t>
      </w:r>
      <w:r w:rsidR="0000234D">
        <w:rPr>
          <w:rFonts w:ascii="Times New Roman" w:hAnsi="Times New Roman" w:cs="Times New Roman"/>
        </w:rPr>
        <w:t>entre États</w:t>
      </w:r>
      <w:r w:rsidR="00CB2BBC" w:rsidRPr="00E25837">
        <w:rPr>
          <w:rFonts w:ascii="Times New Roman" w:hAnsi="Times New Roman" w:cs="Times New Roman"/>
        </w:rPr>
        <w:t xml:space="preserve">, </w:t>
      </w:r>
      <w:r w:rsidR="008134F2" w:rsidRPr="00E25837">
        <w:rPr>
          <w:rFonts w:ascii="Times New Roman" w:hAnsi="Times New Roman" w:cs="Times New Roman"/>
        </w:rPr>
        <w:t xml:space="preserve">ils ont été </w:t>
      </w:r>
      <w:r w:rsidR="0000234D" w:rsidRPr="00E25837">
        <w:rPr>
          <w:rFonts w:ascii="Times New Roman" w:hAnsi="Times New Roman" w:cs="Times New Roman"/>
        </w:rPr>
        <w:t>exclus</w:t>
      </w:r>
      <w:r w:rsidR="008134F2" w:rsidRPr="00E25837">
        <w:rPr>
          <w:rFonts w:ascii="Times New Roman" w:hAnsi="Times New Roman" w:cs="Times New Roman"/>
        </w:rPr>
        <w:t xml:space="preserve"> ét</w:t>
      </w:r>
      <w:r w:rsidR="00EC05A4" w:rsidRPr="00E25837">
        <w:rPr>
          <w:rFonts w:ascii="Times New Roman" w:hAnsi="Times New Roman" w:cs="Times New Roman"/>
        </w:rPr>
        <w:t>ant donné que leur utilisation n’</w:t>
      </w:r>
      <w:proofErr w:type="spellStart"/>
      <w:r w:rsidR="00EC05A4" w:rsidRPr="00E25837">
        <w:rPr>
          <w:rFonts w:ascii="Times New Roman" w:hAnsi="Times New Roman" w:cs="Times New Roman"/>
        </w:rPr>
        <w:t>apparaît</w:t>
      </w:r>
      <w:proofErr w:type="spellEnd"/>
      <w:r w:rsidR="00EC05A4" w:rsidRPr="00E25837">
        <w:rPr>
          <w:rFonts w:ascii="Times New Roman" w:hAnsi="Times New Roman" w:cs="Times New Roman"/>
        </w:rPr>
        <w:t xml:space="preserve"> pas significative. </w:t>
      </w:r>
      <w:r w:rsidR="008E2ECC" w:rsidRPr="00E25837">
        <w:rPr>
          <w:rFonts w:ascii="Times New Roman" w:hAnsi="Times New Roman" w:cs="Times New Roman"/>
        </w:rPr>
        <w:t xml:space="preserve">Au cours des 25 dernières années, le </w:t>
      </w:r>
      <w:r w:rsidR="00EC05A4" w:rsidRPr="00E25837">
        <w:rPr>
          <w:rFonts w:ascii="Times New Roman" w:hAnsi="Times New Roman" w:cs="Times New Roman"/>
        </w:rPr>
        <w:t>mécanisme de règlement des différends le</w:t>
      </w:r>
      <w:r w:rsidR="00862DC7">
        <w:rPr>
          <w:rFonts w:ascii="Times New Roman" w:hAnsi="Times New Roman" w:cs="Times New Roman"/>
        </w:rPr>
        <w:t xml:space="preserve"> plus utilisé</w:t>
      </w:r>
      <w:r w:rsidR="00EC05A4" w:rsidRPr="00E25837">
        <w:rPr>
          <w:rFonts w:ascii="Times New Roman" w:hAnsi="Times New Roman" w:cs="Times New Roman"/>
        </w:rPr>
        <w:t xml:space="preserve"> dans le domaine des investissements est </w:t>
      </w:r>
      <w:r w:rsidR="00CA011B">
        <w:rPr>
          <w:rFonts w:ascii="Times New Roman" w:hAnsi="Times New Roman" w:cs="Times New Roman"/>
        </w:rPr>
        <w:t xml:space="preserve">définitivement </w:t>
      </w:r>
      <w:r w:rsidR="00EC05A4" w:rsidRPr="00E25837">
        <w:rPr>
          <w:rFonts w:ascii="Times New Roman" w:hAnsi="Times New Roman" w:cs="Times New Roman"/>
        </w:rPr>
        <w:t>l’arbitrage</w:t>
      </w:r>
      <w:r w:rsidR="0000234D">
        <w:rPr>
          <w:rFonts w:ascii="Times New Roman" w:hAnsi="Times New Roman" w:cs="Times New Roman"/>
        </w:rPr>
        <w:t xml:space="preserve"> entre un investisseur et un</w:t>
      </w:r>
      <w:r w:rsidR="008E2ECC" w:rsidRPr="00E25837">
        <w:rPr>
          <w:rFonts w:ascii="Times New Roman" w:hAnsi="Times New Roman" w:cs="Times New Roman"/>
        </w:rPr>
        <w:t xml:space="preserve"> État</w:t>
      </w:r>
      <w:r w:rsidR="00CA011B">
        <w:rPr>
          <w:rFonts w:ascii="Times New Roman" w:hAnsi="Times New Roman" w:cs="Times New Roman"/>
        </w:rPr>
        <w:t xml:space="preserve"> (</w:t>
      </w:r>
      <w:proofErr w:type="spellStart"/>
      <w:r w:rsidR="00CA011B">
        <w:rPr>
          <w:rFonts w:ascii="Times New Roman" w:hAnsi="Times New Roman" w:cs="Times New Roman"/>
        </w:rPr>
        <w:t>Puig</w:t>
      </w:r>
      <w:proofErr w:type="spellEnd"/>
      <w:r w:rsidR="00CA011B">
        <w:rPr>
          <w:rFonts w:ascii="Times New Roman" w:hAnsi="Times New Roman" w:cs="Times New Roman"/>
        </w:rPr>
        <w:t xml:space="preserve"> 2014 : 396)</w:t>
      </w:r>
      <w:r w:rsidR="008E2ECC" w:rsidRPr="00E25837">
        <w:rPr>
          <w:rFonts w:ascii="Times New Roman" w:hAnsi="Times New Roman" w:cs="Times New Roman"/>
        </w:rPr>
        <w:t>.</w:t>
      </w:r>
    </w:p>
    <w:p w14:paraId="7E8337E3" w14:textId="253FA190" w:rsidR="008E2ECC" w:rsidRDefault="0000234D" w:rsidP="00BA43F7">
      <w:pPr>
        <w:spacing w:before="120" w:after="120" w:line="360" w:lineRule="auto"/>
        <w:jc w:val="both"/>
        <w:rPr>
          <w:rFonts w:ascii="Times New Roman" w:hAnsi="Times New Roman" w:cs="Times New Roman"/>
        </w:rPr>
      </w:pPr>
      <w:r>
        <w:rPr>
          <w:rFonts w:ascii="Times New Roman" w:hAnsi="Times New Roman" w:cs="Times New Roman"/>
        </w:rPr>
        <w:t>A</w:t>
      </w:r>
      <w:r w:rsidR="008E2ECC" w:rsidRPr="00E25837">
        <w:rPr>
          <w:rFonts w:ascii="Times New Roman" w:hAnsi="Times New Roman" w:cs="Times New Roman"/>
        </w:rPr>
        <w:t>ddition</w:t>
      </w:r>
      <w:r>
        <w:rPr>
          <w:rFonts w:ascii="Times New Roman" w:hAnsi="Times New Roman" w:cs="Times New Roman"/>
        </w:rPr>
        <w:t>nés</w:t>
      </w:r>
      <w:r w:rsidR="00B85312" w:rsidRPr="00E25837">
        <w:rPr>
          <w:rFonts w:ascii="Times New Roman" w:hAnsi="Times New Roman" w:cs="Times New Roman"/>
        </w:rPr>
        <w:t xml:space="preserve"> au</w:t>
      </w:r>
      <w:r w:rsidR="003C4690">
        <w:rPr>
          <w:rFonts w:ascii="Times New Roman" w:hAnsi="Times New Roman" w:cs="Times New Roman"/>
        </w:rPr>
        <w:t>x</w:t>
      </w:r>
      <w:r w:rsidR="00B85312" w:rsidRPr="00E25837">
        <w:rPr>
          <w:rFonts w:ascii="Times New Roman" w:hAnsi="Times New Roman" w:cs="Times New Roman"/>
        </w:rPr>
        <w:t xml:space="preserve"> divers traités ou modèle</w:t>
      </w:r>
      <w:r>
        <w:rPr>
          <w:rFonts w:ascii="Times New Roman" w:hAnsi="Times New Roman" w:cs="Times New Roman"/>
        </w:rPr>
        <w:t>s</w:t>
      </w:r>
      <w:r w:rsidR="00B85312" w:rsidRPr="00E25837">
        <w:rPr>
          <w:rFonts w:ascii="Times New Roman" w:hAnsi="Times New Roman" w:cs="Times New Roman"/>
        </w:rPr>
        <w:t xml:space="preserve"> précédemment mentionnés</w:t>
      </w:r>
      <w:r w:rsidR="008E2ECC" w:rsidRPr="00E25837">
        <w:rPr>
          <w:rFonts w:ascii="Times New Roman" w:hAnsi="Times New Roman" w:cs="Times New Roman"/>
        </w:rPr>
        <w:t xml:space="preserve">, plusieurs documents européens ont également été </w:t>
      </w:r>
      <w:r w:rsidR="00862DC7" w:rsidRPr="00E25837">
        <w:rPr>
          <w:rFonts w:ascii="Times New Roman" w:hAnsi="Times New Roman" w:cs="Times New Roman"/>
        </w:rPr>
        <w:t>utilisés</w:t>
      </w:r>
      <w:r w:rsidR="00B85312" w:rsidRPr="00E25837">
        <w:rPr>
          <w:rFonts w:ascii="Times New Roman" w:hAnsi="Times New Roman" w:cs="Times New Roman"/>
        </w:rPr>
        <w:t xml:space="preserve"> </w:t>
      </w:r>
      <w:r w:rsidR="008E2ECC" w:rsidRPr="00E25837">
        <w:rPr>
          <w:rFonts w:ascii="Times New Roman" w:hAnsi="Times New Roman" w:cs="Times New Roman"/>
        </w:rPr>
        <w:t xml:space="preserve">pour valider l’ébauche de modèle d’accord sur </w:t>
      </w:r>
      <w:r w:rsidR="008E2ECC" w:rsidRPr="00E25837">
        <w:rPr>
          <w:rFonts w:ascii="Times New Roman" w:hAnsi="Times New Roman" w:cs="Times New Roman"/>
        </w:rPr>
        <w:lastRenderedPageBreak/>
        <w:t>l’investissement dégagé</w:t>
      </w:r>
      <w:r w:rsidR="00B85312" w:rsidRPr="00E25837">
        <w:rPr>
          <w:rFonts w:ascii="Times New Roman" w:hAnsi="Times New Roman" w:cs="Times New Roman"/>
        </w:rPr>
        <w:t xml:space="preserve"> par les comparaisons</w:t>
      </w:r>
      <w:r w:rsidR="008E2ECC" w:rsidRPr="00E25837">
        <w:rPr>
          <w:rFonts w:ascii="Times New Roman" w:hAnsi="Times New Roman" w:cs="Times New Roman"/>
        </w:rPr>
        <w:t>. La Commission européenne, l</w:t>
      </w:r>
      <w:r w:rsidR="003C4690">
        <w:rPr>
          <w:rFonts w:ascii="Times New Roman" w:hAnsi="Times New Roman" w:cs="Times New Roman"/>
        </w:rPr>
        <w:t>e</w:t>
      </w:r>
      <w:r w:rsidR="008E2ECC" w:rsidRPr="00E25837">
        <w:rPr>
          <w:rFonts w:ascii="Times New Roman" w:hAnsi="Times New Roman" w:cs="Times New Roman"/>
        </w:rPr>
        <w:t xml:space="preserve"> Parlement européen et le Conseil de l’Union européenne ont en effet chacun </w:t>
      </w:r>
      <w:r w:rsidR="00862DC7" w:rsidRPr="00E25837">
        <w:rPr>
          <w:rFonts w:ascii="Times New Roman" w:hAnsi="Times New Roman" w:cs="Times New Roman"/>
        </w:rPr>
        <w:t>publié</w:t>
      </w:r>
      <w:r w:rsidR="008E2ECC" w:rsidRPr="00E25837">
        <w:rPr>
          <w:rFonts w:ascii="Times New Roman" w:hAnsi="Times New Roman" w:cs="Times New Roman"/>
        </w:rPr>
        <w:t xml:space="preserve"> des documents donnant plusieurs informations sur la direction que les négociateurs européens devaient et devront </w:t>
      </w:r>
      <w:r>
        <w:rPr>
          <w:rFonts w:ascii="Times New Roman" w:hAnsi="Times New Roman" w:cs="Times New Roman"/>
        </w:rPr>
        <w:t xml:space="preserve"> dorénavant </w:t>
      </w:r>
      <w:r w:rsidR="008E2ECC" w:rsidRPr="00E25837">
        <w:rPr>
          <w:rFonts w:ascii="Times New Roman" w:hAnsi="Times New Roman" w:cs="Times New Roman"/>
        </w:rPr>
        <w:t xml:space="preserve">suivre. Encore tout récemment, la Commission européenne a publié une note de synthèse indiquant qu’elle désirait s’éloigner de l’arbitrage </w:t>
      </w:r>
      <w:r w:rsidR="008E2ECC" w:rsidRPr="00E25837">
        <w:rPr>
          <w:rFonts w:ascii="Times New Roman" w:hAnsi="Times New Roman" w:cs="Times New Roman"/>
          <w:i/>
        </w:rPr>
        <w:t xml:space="preserve">ad hoc </w:t>
      </w:r>
      <w:r w:rsidR="008E2ECC" w:rsidRPr="00E25837">
        <w:rPr>
          <w:rFonts w:ascii="Times New Roman" w:hAnsi="Times New Roman" w:cs="Times New Roman"/>
        </w:rPr>
        <w:t>au profit de l’institution d’une cour permanente (2015</w:t>
      </w:r>
      <w:r w:rsidR="00735E10">
        <w:rPr>
          <w:rFonts w:ascii="Times New Roman" w:hAnsi="Times New Roman" w:cs="Times New Roman"/>
        </w:rPr>
        <w:t>a</w:t>
      </w:r>
      <w:r w:rsidR="008E2ECC" w:rsidRPr="00E25837">
        <w:rPr>
          <w:rFonts w:ascii="Times New Roman" w:hAnsi="Times New Roman" w:cs="Times New Roman"/>
        </w:rPr>
        <w:t>). Le 21 septembre dernier, cette note s’est finalement traduite en une proposition dans le cadre de la négociation du Partenariat transatlantique (</w:t>
      </w:r>
      <w:r w:rsidR="00735E10">
        <w:rPr>
          <w:rFonts w:ascii="Times New Roman" w:hAnsi="Times New Roman" w:cs="Times New Roman"/>
        </w:rPr>
        <w:t>Commission européenne 2015b</w:t>
      </w:r>
      <w:r w:rsidR="008E2ECC" w:rsidRPr="00E25837">
        <w:rPr>
          <w:rFonts w:ascii="Times New Roman" w:hAnsi="Times New Roman" w:cs="Times New Roman"/>
        </w:rPr>
        <w:t xml:space="preserve">). </w:t>
      </w:r>
      <w:r w:rsidR="00862DC7">
        <w:rPr>
          <w:rFonts w:ascii="Times New Roman" w:hAnsi="Times New Roman" w:cs="Times New Roman"/>
        </w:rPr>
        <w:t>La mise à profit de</w:t>
      </w:r>
      <w:r w:rsidR="003E18BC" w:rsidRPr="00E25837">
        <w:rPr>
          <w:rFonts w:ascii="Times New Roman" w:hAnsi="Times New Roman" w:cs="Times New Roman"/>
        </w:rPr>
        <w:t xml:space="preserve"> ces documents a ainsi également permis de s’assurer de maintenir une vision actuelle sur le modèle d’accord de l’Union européenne ici analysé. </w:t>
      </w:r>
    </w:p>
    <w:p w14:paraId="0FABFDC7" w14:textId="20C07B53" w:rsidR="00A6376D" w:rsidRPr="006A5780" w:rsidRDefault="00A6376D" w:rsidP="00BA43F7">
      <w:pPr>
        <w:pStyle w:val="Titre2"/>
        <w:spacing w:before="120" w:after="120"/>
        <w:rPr>
          <w:rFonts w:ascii="Times New Roman" w:hAnsi="Times New Roman" w:cs="Times New Roman"/>
          <w:color w:val="auto"/>
          <w:u w:val="single"/>
        </w:rPr>
      </w:pPr>
      <w:bookmarkStart w:id="11" w:name="_Toc313471463"/>
      <w:r w:rsidRPr="006A5780">
        <w:rPr>
          <w:rFonts w:ascii="Times New Roman" w:hAnsi="Times New Roman" w:cs="Times New Roman"/>
          <w:color w:val="auto"/>
          <w:u w:val="single"/>
        </w:rPr>
        <w:t xml:space="preserve">3.2 </w:t>
      </w:r>
      <w:r w:rsidR="00CC3FA7" w:rsidRPr="006A5780">
        <w:rPr>
          <w:rFonts w:ascii="Times New Roman" w:hAnsi="Times New Roman" w:cs="Times New Roman"/>
          <w:color w:val="auto"/>
          <w:u w:val="single"/>
        </w:rPr>
        <w:t>La mise en lumière d’un modèle d’accord européen : un objectif impossible ?</w:t>
      </w:r>
      <w:bookmarkEnd w:id="11"/>
      <w:r w:rsidR="00CC3FA7" w:rsidRPr="006A5780">
        <w:rPr>
          <w:rFonts w:ascii="Times New Roman" w:hAnsi="Times New Roman" w:cs="Times New Roman"/>
          <w:color w:val="auto"/>
          <w:u w:val="single"/>
        </w:rPr>
        <w:t xml:space="preserve"> </w:t>
      </w:r>
    </w:p>
    <w:p w14:paraId="291810EA" w14:textId="3EBC25D2" w:rsidR="003E18BC" w:rsidRPr="00E25837" w:rsidRDefault="00B85312" w:rsidP="00BA43F7">
      <w:pPr>
        <w:spacing w:before="120" w:after="120" w:line="360" w:lineRule="auto"/>
        <w:jc w:val="both"/>
        <w:rPr>
          <w:rFonts w:ascii="Times New Roman" w:hAnsi="Times New Roman" w:cs="Times New Roman"/>
        </w:rPr>
      </w:pPr>
      <w:r w:rsidRPr="00E25837">
        <w:rPr>
          <w:rFonts w:ascii="Times New Roman" w:hAnsi="Times New Roman" w:cs="Times New Roman"/>
        </w:rPr>
        <w:t>Bien que toute cette démarc</w:t>
      </w:r>
      <w:r w:rsidR="003E18BC" w:rsidRPr="00E25837">
        <w:rPr>
          <w:rFonts w:ascii="Times New Roman" w:hAnsi="Times New Roman" w:cs="Times New Roman"/>
        </w:rPr>
        <w:t>he puiss</w:t>
      </w:r>
      <w:r w:rsidR="00711DC9" w:rsidRPr="00E25837">
        <w:rPr>
          <w:rFonts w:ascii="Times New Roman" w:hAnsi="Times New Roman" w:cs="Times New Roman"/>
        </w:rPr>
        <w:t>e</w:t>
      </w:r>
      <w:r w:rsidR="003C4690">
        <w:rPr>
          <w:rFonts w:ascii="Times New Roman" w:hAnsi="Times New Roman" w:cs="Times New Roman"/>
        </w:rPr>
        <w:t>,</w:t>
      </w:r>
      <w:r w:rsidR="0000234D">
        <w:rPr>
          <w:rFonts w:ascii="Times New Roman" w:hAnsi="Times New Roman" w:cs="Times New Roman"/>
        </w:rPr>
        <w:t xml:space="preserve"> </w:t>
      </w:r>
      <w:r w:rsidR="00F269E7" w:rsidRPr="00E25837">
        <w:rPr>
          <w:rFonts w:ascii="Times New Roman" w:hAnsi="Times New Roman" w:cs="Times New Roman"/>
        </w:rPr>
        <w:t xml:space="preserve"> pour certains</w:t>
      </w:r>
      <w:r w:rsidR="003C4690">
        <w:rPr>
          <w:rFonts w:ascii="Times New Roman" w:hAnsi="Times New Roman" w:cs="Times New Roman"/>
        </w:rPr>
        <w:t>,</w:t>
      </w:r>
      <w:r w:rsidR="00F269E7" w:rsidRPr="00E25837">
        <w:rPr>
          <w:rFonts w:ascii="Times New Roman" w:hAnsi="Times New Roman" w:cs="Times New Roman"/>
        </w:rPr>
        <w:t xml:space="preserve"> comporter le risque </w:t>
      </w:r>
      <w:r w:rsidR="0062302F" w:rsidRPr="00E25837">
        <w:rPr>
          <w:rFonts w:ascii="Times New Roman" w:hAnsi="Times New Roman" w:cs="Times New Roman"/>
        </w:rPr>
        <w:t>d’inclure des normes non « </w:t>
      </w:r>
      <w:r w:rsidR="00711DC9" w:rsidRPr="00E25837">
        <w:rPr>
          <w:rFonts w:ascii="Times New Roman" w:hAnsi="Times New Roman" w:cs="Times New Roman"/>
        </w:rPr>
        <w:t xml:space="preserve">européennes », </w:t>
      </w:r>
      <w:r w:rsidR="0062302F" w:rsidRPr="00E25837">
        <w:rPr>
          <w:rFonts w:ascii="Times New Roman" w:hAnsi="Times New Roman" w:cs="Times New Roman"/>
        </w:rPr>
        <w:t>il importe de remarquer qu’</w:t>
      </w:r>
      <w:r w:rsidR="00711DC9" w:rsidRPr="00E25837">
        <w:rPr>
          <w:rFonts w:ascii="Times New Roman" w:hAnsi="Times New Roman" w:cs="Times New Roman"/>
        </w:rPr>
        <w:t xml:space="preserve">elle </w:t>
      </w:r>
      <w:r w:rsidR="0062302F" w:rsidRPr="00E25837">
        <w:rPr>
          <w:rFonts w:ascii="Times New Roman" w:hAnsi="Times New Roman" w:cs="Times New Roman"/>
        </w:rPr>
        <w:t>permet en même temps d’avoir une approche actuelle et exhaustive</w:t>
      </w:r>
      <w:r w:rsidR="00711DC9" w:rsidRPr="00E25837">
        <w:rPr>
          <w:rFonts w:ascii="Times New Roman" w:hAnsi="Times New Roman" w:cs="Times New Roman"/>
        </w:rPr>
        <w:t xml:space="preserve">. L’utilisation pure et simple d’un modèle </w:t>
      </w:r>
      <w:r w:rsidR="00F269E7" w:rsidRPr="00E25837">
        <w:rPr>
          <w:rFonts w:ascii="Times New Roman" w:hAnsi="Times New Roman" w:cs="Times New Roman"/>
        </w:rPr>
        <w:t>comprend</w:t>
      </w:r>
      <w:r w:rsidR="0062302F" w:rsidRPr="00E25837">
        <w:rPr>
          <w:rFonts w:ascii="Times New Roman" w:hAnsi="Times New Roman" w:cs="Times New Roman"/>
        </w:rPr>
        <w:t xml:space="preserve"> en effet l</w:t>
      </w:r>
      <w:r w:rsidR="0000234D">
        <w:rPr>
          <w:rFonts w:ascii="Times New Roman" w:hAnsi="Times New Roman" w:cs="Times New Roman"/>
        </w:rPr>
        <w:t>e pièg</w:t>
      </w:r>
      <w:r w:rsidR="00ED2DCB">
        <w:rPr>
          <w:rFonts w:ascii="Times New Roman" w:hAnsi="Times New Roman" w:cs="Times New Roman"/>
        </w:rPr>
        <w:t>e de croire qu’un</w:t>
      </w:r>
      <w:r w:rsidR="00F269E7" w:rsidRPr="00E25837">
        <w:rPr>
          <w:rFonts w:ascii="Times New Roman" w:hAnsi="Times New Roman" w:cs="Times New Roman"/>
        </w:rPr>
        <w:t xml:space="preserve"> modèle </w:t>
      </w:r>
      <w:r w:rsidR="0000234D">
        <w:rPr>
          <w:rFonts w:ascii="Times New Roman" w:hAnsi="Times New Roman" w:cs="Times New Roman"/>
        </w:rPr>
        <w:t xml:space="preserve">d’un État </w:t>
      </w:r>
      <w:r w:rsidR="00ED2DCB">
        <w:rPr>
          <w:rFonts w:ascii="Times New Roman" w:hAnsi="Times New Roman" w:cs="Times New Roman"/>
        </w:rPr>
        <w:t>représente nécessairement sa position actuelle</w:t>
      </w:r>
      <w:r w:rsidR="00711DC9" w:rsidRPr="00E25837">
        <w:rPr>
          <w:rFonts w:ascii="Times New Roman" w:hAnsi="Times New Roman" w:cs="Times New Roman"/>
        </w:rPr>
        <w:t>. Entre la publication d’un nouveau modèle et la signature de traités bilatéraux d’investissement, les États peuvent adopter</w:t>
      </w:r>
      <w:r w:rsidR="0062302F" w:rsidRPr="00E25837">
        <w:rPr>
          <w:rFonts w:ascii="Times New Roman" w:hAnsi="Times New Roman" w:cs="Times New Roman"/>
        </w:rPr>
        <w:t xml:space="preserve"> une nouvelle pratique qui n’est</w:t>
      </w:r>
      <w:r w:rsidR="00711DC9" w:rsidRPr="00E25837">
        <w:rPr>
          <w:rFonts w:ascii="Times New Roman" w:hAnsi="Times New Roman" w:cs="Times New Roman"/>
        </w:rPr>
        <w:t xml:space="preserve"> </w:t>
      </w:r>
      <w:r w:rsidR="0062302F" w:rsidRPr="00E25837">
        <w:rPr>
          <w:rFonts w:ascii="Times New Roman" w:hAnsi="Times New Roman" w:cs="Times New Roman"/>
        </w:rPr>
        <w:t>pas reflété</w:t>
      </w:r>
      <w:r w:rsidR="00F269E7" w:rsidRPr="00E25837">
        <w:rPr>
          <w:rFonts w:ascii="Times New Roman" w:hAnsi="Times New Roman" w:cs="Times New Roman"/>
        </w:rPr>
        <w:t>e</w:t>
      </w:r>
      <w:r w:rsidR="0062302F" w:rsidRPr="00E25837">
        <w:rPr>
          <w:rFonts w:ascii="Times New Roman" w:hAnsi="Times New Roman" w:cs="Times New Roman"/>
        </w:rPr>
        <w:t xml:space="preserve"> par le modèle</w:t>
      </w:r>
      <w:r w:rsidR="00ED2DCB">
        <w:rPr>
          <w:rFonts w:ascii="Times New Roman" w:hAnsi="Times New Roman" w:cs="Times New Roman"/>
        </w:rPr>
        <w:t xml:space="preserve"> qui</w:t>
      </w:r>
      <w:r w:rsidR="00F269E7" w:rsidRPr="00E25837">
        <w:rPr>
          <w:rFonts w:ascii="Times New Roman" w:hAnsi="Times New Roman" w:cs="Times New Roman"/>
        </w:rPr>
        <w:t xml:space="preserve"> est figé dans le temps</w:t>
      </w:r>
      <w:r w:rsidR="0062302F" w:rsidRPr="00E25837">
        <w:rPr>
          <w:rFonts w:ascii="Times New Roman" w:hAnsi="Times New Roman" w:cs="Times New Roman"/>
        </w:rPr>
        <w:t xml:space="preserve">. </w:t>
      </w:r>
      <w:r w:rsidR="003C4690">
        <w:rPr>
          <w:rFonts w:ascii="Times New Roman" w:hAnsi="Times New Roman" w:cs="Times New Roman"/>
        </w:rPr>
        <w:t>Par exemple, à l’évidence, l</w:t>
      </w:r>
      <w:r w:rsidR="0062302F" w:rsidRPr="00E25837">
        <w:rPr>
          <w:rFonts w:ascii="Times New Roman" w:hAnsi="Times New Roman" w:cs="Times New Roman"/>
        </w:rPr>
        <w:t xml:space="preserve">e modèle d’accord sur l’investissement canadien de 2004 ne reflète </w:t>
      </w:r>
      <w:r w:rsidR="00F269E7" w:rsidRPr="00E25837">
        <w:rPr>
          <w:rFonts w:ascii="Times New Roman" w:hAnsi="Times New Roman" w:cs="Times New Roman"/>
        </w:rPr>
        <w:t xml:space="preserve">pas exactement le chapitre sur l’investissement de l’ALECC </w:t>
      </w:r>
      <w:r w:rsidR="00ED2DCB">
        <w:rPr>
          <w:rFonts w:ascii="Times New Roman" w:hAnsi="Times New Roman" w:cs="Times New Roman"/>
        </w:rPr>
        <w:t>ni</w:t>
      </w:r>
      <w:r w:rsidR="00F269E7" w:rsidRPr="00E25837">
        <w:rPr>
          <w:rFonts w:ascii="Times New Roman" w:hAnsi="Times New Roman" w:cs="Times New Roman"/>
        </w:rPr>
        <w:t xml:space="preserve"> le récent traité bilatéral sur l’investissement signé avec la Chine. </w:t>
      </w:r>
      <w:r w:rsidR="003C4690">
        <w:rPr>
          <w:rFonts w:ascii="Times New Roman" w:hAnsi="Times New Roman" w:cs="Times New Roman"/>
        </w:rPr>
        <w:t xml:space="preserve">La pratique contemporaine canadienne diverge donc un peu du modèle canadien. </w:t>
      </w:r>
    </w:p>
    <w:p w14:paraId="34281713" w14:textId="58062153" w:rsidR="00F269E7" w:rsidRPr="00E25837" w:rsidRDefault="00C36AE0" w:rsidP="00BA43F7">
      <w:pPr>
        <w:spacing w:before="120" w:after="120" w:line="360" w:lineRule="auto"/>
        <w:jc w:val="both"/>
        <w:rPr>
          <w:rFonts w:ascii="Times New Roman" w:hAnsi="Times New Roman" w:cs="Times New Roman"/>
        </w:rPr>
      </w:pPr>
      <w:r>
        <w:rPr>
          <w:rFonts w:ascii="Times New Roman" w:hAnsi="Times New Roman" w:cs="Times New Roman"/>
        </w:rPr>
        <w:t xml:space="preserve">Un péril </w:t>
      </w:r>
      <w:r w:rsidR="00D133A1" w:rsidRPr="00E25837">
        <w:rPr>
          <w:rFonts w:ascii="Times New Roman" w:hAnsi="Times New Roman" w:cs="Times New Roman"/>
        </w:rPr>
        <w:t>plus grave avec le présent devis méthodologique</w:t>
      </w:r>
      <w:r>
        <w:rPr>
          <w:rFonts w:ascii="Times New Roman" w:hAnsi="Times New Roman" w:cs="Times New Roman"/>
        </w:rPr>
        <w:t xml:space="preserve"> est cependant qu’il est bien évidemment </w:t>
      </w:r>
      <w:r w:rsidR="00D133A1" w:rsidRPr="00E25837">
        <w:rPr>
          <w:rFonts w:ascii="Times New Roman" w:hAnsi="Times New Roman" w:cs="Times New Roman"/>
        </w:rPr>
        <w:t xml:space="preserve">impossible </w:t>
      </w:r>
      <w:r>
        <w:rPr>
          <w:rFonts w:ascii="Times New Roman" w:hAnsi="Times New Roman" w:cs="Times New Roman"/>
        </w:rPr>
        <w:t>d</w:t>
      </w:r>
      <w:r w:rsidR="00D133A1" w:rsidRPr="00E25837">
        <w:rPr>
          <w:rFonts w:ascii="Times New Roman" w:hAnsi="Times New Roman" w:cs="Times New Roman"/>
        </w:rPr>
        <w:t>e dégager un modèle qu’un</w:t>
      </w:r>
      <w:r w:rsidR="00ED2DCB">
        <w:rPr>
          <w:rFonts w:ascii="Times New Roman" w:hAnsi="Times New Roman" w:cs="Times New Roman"/>
        </w:rPr>
        <w:t xml:space="preserve"> État utilisera lors de toutes s</w:t>
      </w:r>
      <w:r w:rsidR="00D133A1" w:rsidRPr="00E25837">
        <w:rPr>
          <w:rFonts w:ascii="Times New Roman" w:hAnsi="Times New Roman" w:cs="Times New Roman"/>
        </w:rPr>
        <w:t xml:space="preserve">es négociations. En effet, même s’ils ont été </w:t>
      </w:r>
      <w:r w:rsidR="00FA55D6" w:rsidRPr="00E25837">
        <w:rPr>
          <w:rFonts w:ascii="Times New Roman" w:hAnsi="Times New Roman" w:cs="Times New Roman"/>
        </w:rPr>
        <w:t xml:space="preserve">négociés en partie simultanément, le chapitre sur l’investissement de l’ALECC et le traité bilatéral sur l’investissement avec la Chine </w:t>
      </w:r>
      <w:proofErr w:type="gramStart"/>
      <w:r w:rsidR="00FA55D6" w:rsidRPr="00E25837">
        <w:rPr>
          <w:rFonts w:ascii="Times New Roman" w:hAnsi="Times New Roman" w:cs="Times New Roman"/>
        </w:rPr>
        <w:t>ne sont</w:t>
      </w:r>
      <w:proofErr w:type="gramEnd"/>
      <w:r w:rsidR="009A6400">
        <w:rPr>
          <w:rFonts w:ascii="Times New Roman" w:hAnsi="Times New Roman" w:cs="Times New Roman"/>
        </w:rPr>
        <w:t xml:space="preserve"> évidemment</w:t>
      </w:r>
      <w:r w:rsidR="00FA55D6" w:rsidRPr="00E25837">
        <w:rPr>
          <w:rFonts w:ascii="Times New Roman" w:hAnsi="Times New Roman" w:cs="Times New Roman"/>
        </w:rPr>
        <w:t xml:space="preserve"> pas identiques. Cela s’explique </w:t>
      </w:r>
      <w:r w:rsidR="00ED2DCB">
        <w:rPr>
          <w:rFonts w:ascii="Times New Roman" w:hAnsi="Times New Roman" w:cs="Times New Roman"/>
        </w:rPr>
        <w:t>notamment</w:t>
      </w:r>
      <w:r w:rsidR="00FA55D6" w:rsidRPr="00E25837">
        <w:rPr>
          <w:rFonts w:ascii="Times New Roman" w:hAnsi="Times New Roman" w:cs="Times New Roman"/>
        </w:rPr>
        <w:t xml:space="preserve"> par le fait que le texte d’un traité varie selon les </w:t>
      </w:r>
      <w:r w:rsidR="00ED2DCB">
        <w:rPr>
          <w:rFonts w:ascii="Times New Roman" w:hAnsi="Times New Roman" w:cs="Times New Roman"/>
        </w:rPr>
        <w:t>parties à la négociation et le</w:t>
      </w:r>
      <w:r w:rsidR="00FA55D6" w:rsidRPr="00E25837">
        <w:rPr>
          <w:rFonts w:ascii="Times New Roman" w:hAnsi="Times New Roman" w:cs="Times New Roman"/>
        </w:rPr>
        <w:t>s intérêts</w:t>
      </w:r>
      <w:r w:rsidR="00ED2DCB">
        <w:rPr>
          <w:rFonts w:ascii="Times New Roman" w:hAnsi="Times New Roman" w:cs="Times New Roman"/>
        </w:rPr>
        <w:t xml:space="preserve"> alors en jeu</w:t>
      </w:r>
      <w:r w:rsidR="00735E10">
        <w:rPr>
          <w:rFonts w:ascii="Times New Roman" w:hAnsi="Times New Roman" w:cs="Times New Roman"/>
        </w:rPr>
        <w:t xml:space="preserve"> (</w:t>
      </w:r>
      <w:proofErr w:type="spellStart"/>
      <w:r w:rsidR="00735E10">
        <w:rPr>
          <w:rFonts w:ascii="Times New Roman" w:hAnsi="Times New Roman" w:cs="Times New Roman"/>
        </w:rPr>
        <w:t>Allee</w:t>
      </w:r>
      <w:proofErr w:type="spellEnd"/>
      <w:r w:rsidR="00735E10">
        <w:rPr>
          <w:rFonts w:ascii="Times New Roman" w:hAnsi="Times New Roman" w:cs="Times New Roman"/>
        </w:rPr>
        <w:t xml:space="preserve"> et </w:t>
      </w:r>
      <w:proofErr w:type="spellStart"/>
      <w:r w:rsidR="00735E10">
        <w:rPr>
          <w:rFonts w:ascii="Times New Roman" w:hAnsi="Times New Roman" w:cs="Times New Roman"/>
        </w:rPr>
        <w:t>Peinhardt</w:t>
      </w:r>
      <w:proofErr w:type="spellEnd"/>
      <w:r w:rsidR="00735E10">
        <w:rPr>
          <w:rFonts w:ascii="Times New Roman" w:hAnsi="Times New Roman" w:cs="Times New Roman"/>
        </w:rPr>
        <w:t xml:space="preserve"> </w:t>
      </w:r>
      <w:r w:rsidR="00FA55D6" w:rsidRPr="00E25837">
        <w:rPr>
          <w:rFonts w:ascii="Times New Roman" w:hAnsi="Times New Roman" w:cs="Times New Roman"/>
        </w:rPr>
        <w:t xml:space="preserve">2010). Le mandat que donne un gouvernement à ses négociateurs peut évidemment </w:t>
      </w:r>
      <w:r w:rsidR="001B5E89" w:rsidRPr="00E25837">
        <w:rPr>
          <w:rFonts w:ascii="Times New Roman" w:hAnsi="Times New Roman" w:cs="Times New Roman"/>
        </w:rPr>
        <w:t xml:space="preserve">varier </w:t>
      </w:r>
      <w:r w:rsidR="00FA55D6" w:rsidRPr="00E25837">
        <w:rPr>
          <w:rFonts w:ascii="Times New Roman" w:hAnsi="Times New Roman" w:cs="Times New Roman"/>
        </w:rPr>
        <w:t>selo</w:t>
      </w:r>
      <w:r w:rsidR="0019534A" w:rsidRPr="00E25837">
        <w:rPr>
          <w:rFonts w:ascii="Times New Roman" w:hAnsi="Times New Roman" w:cs="Times New Roman"/>
        </w:rPr>
        <w:t>n l’État avec lequel il</w:t>
      </w:r>
      <w:r w:rsidR="00ED2DCB">
        <w:rPr>
          <w:rFonts w:ascii="Times New Roman" w:hAnsi="Times New Roman" w:cs="Times New Roman"/>
        </w:rPr>
        <w:t>s</w:t>
      </w:r>
      <w:r w:rsidR="0019534A" w:rsidRPr="00E25837">
        <w:rPr>
          <w:rFonts w:ascii="Times New Roman" w:hAnsi="Times New Roman" w:cs="Times New Roman"/>
        </w:rPr>
        <w:t xml:space="preserve"> négocie</w:t>
      </w:r>
      <w:r w:rsidR="00ED2DCB">
        <w:rPr>
          <w:rFonts w:ascii="Times New Roman" w:hAnsi="Times New Roman" w:cs="Times New Roman"/>
        </w:rPr>
        <w:t>nt</w:t>
      </w:r>
      <w:r w:rsidR="0019534A" w:rsidRPr="00E25837">
        <w:rPr>
          <w:rFonts w:ascii="Times New Roman" w:hAnsi="Times New Roman" w:cs="Times New Roman"/>
        </w:rPr>
        <w:t xml:space="preserve">. </w:t>
      </w:r>
      <w:r w:rsidR="00FA55D6" w:rsidRPr="00E25837">
        <w:rPr>
          <w:rFonts w:ascii="Times New Roman" w:hAnsi="Times New Roman" w:cs="Times New Roman"/>
        </w:rPr>
        <w:t xml:space="preserve">De même, un traité demeure un compromis, même lorsqu’il est signé entre un pays développé et </w:t>
      </w:r>
      <w:r w:rsidR="00ED2DCB">
        <w:rPr>
          <w:rFonts w:ascii="Times New Roman" w:hAnsi="Times New Roman" w:cs="Times New Roman"/>
        </w:rPr>
        <w:t xml:space="preserve">un pays </w:t>
      </w:r>
      <w:r w:rsidR="00FA55D6" w:rsidRPr="00E25837">
        <w:rPr>
          <w:rFonts w:ascii="Times New Roman" w:hAnsi="Times New Roman" w:cs="Times New Roman"/>
        </w:rPr>
        <w:t>en voie de développement. En 1986, les États-Unis</w:t>
      </w:r>
      <w:r w:rsidR="001B5E89" w:rsidRPr="00E25837">
        <w:rPr>
          <w:rFonts w:ascii="Times New Roman" w:hAnsi="Times New Roman" w:cs="Times New Roman"/>
        </w:rPr>
        <w:t xml:space="preserve"> avaient ainsi tenté d’inclure une liste</w:t>
      </w:r>
      <w:r w:rsidR="001B5E89" w:rsidRPr="00E25837">
        <w:rPr>
          <w:rFonts w:ascii="Times New Roman" w:hAnsi="Times New Roman" w:cs="Times New Roman"/>
          <w:color w:val="000000" w:themeColor="text1"/>
        </w:rPr>
        <w:t xml:space="preserve"> </w:t>
      </w:r>
      <w:r w:rsidR="001B5E89" w:rsidRPr="00E25837">
        <w:rPr>
          <w:rFonts w:ascii="Times New Roman" w:hAnsi="Times New Roman" w:cs="Times New Roman"/>
        </w:rPr>
        <w:t xml:space="preserve">des actes qui se verraient qualifier d’expropriation indirecte au sein de leur traité avec l’Égypte, </w:t>
      </w:r>
      <w:r w:rsidR="001B5E89" w:rsidRPr="00E25837">
        <w:rPr>
          <w:rFonts w:ascii="Times New Roman" w:hAnsi="Times New Roman" w:cs="Times New Roman"/>
        </w:rPr>
        <w:lastRenderedPageBreak/>
        <w:t>mais ce</w:t>
      </w:r>
      <w:r w:rsidR="003C4690">
        <w:rPr>
          <w:rFonts w:ascii="Times New Roman" w:hAnsi="Times New Roman" w:cs="Times New Roman"/>
        </w:rPr>
        <w:t>tte</w:t>
      </w:r>
      <w:r w:rsidR="001B5E89" w:rsidRPr="00E25837">
        <w:rPr>
          <w:rFonts w:ascii="Times New Roman" w:hAnsi="Times New Roman" w:cs="Times New Roman"/>
        </w:rPr>
        <w:t xml:space="preserve"> derni</w:t>
      </w:r>
      <w:r w:rsidR="003C4690">
        <w:rPr>
          <w:rFonts w:ascii="Times New Roman" w:hAnsi="Times New Roman" w:cs="Times New Roman"/>
        </w:rPr>
        <w:t>ère</w:t>
      </w:r>
      <w:r w:rsidR="001B5E89" w:rsidRPr="00E25837">
        <w:rPr>
          <w:rFonts w:ascii="Times New Roman" w:hAnsi="Times New Roman" w:cs="Times New Roman"/>
        </w:rPr>
        <w:t xml:space="preserve"> avait refusé un tel niveau de précision </w:t>
      </w:r>
      <w:r w:rsidR="00C35D4E">
        <w:rPr>
          <w:rFonts w:ascii="Times New Roman" w:hAnsi="Times New Roman" w:cs="Times New Roman"/>
        </w:rPr>
        <w:t>(</w:t>
      </w:r>
      <w:r w:rsidR="00735E10">
        <w:rPr>
          <w:rFonts w:ascii="Times New Roman" w:hAnsi="Times New Roman" w:cs="Times New Roman"/>
        </w:rPr>
        <w:t xml:space="preserve">Calamita </w:t>
      </w:r>
      <w:r w:rsidR="00ED5AD4">
        <w:rPr>
          <w:rFonts w:ascii="Times New Roman" w:hAnsi="Times New Roman" w:cs="Times New Roman"/>
        </w:rPr>
        <w:t xml:space="preserve">2012 : 327; </w:t>
      </w:r>
      <w:proofErr w:type="spellStart"/>
      <w:r w:rsidR="00735E10">
        <w:rPr>
          <w:rFonts w:ascii="Times New Roman" w:hAnsi="Times New Roman" w:cs="Times New Roman"/>
        </w:rPr>
        <w:t>Fontanelli</w:t>
      </w:r>
      <w:proofErr w:type="spellEnd"/>
      <w:r w:rsidR="00735E10">
        <w:rPr>
          <w:rFonts w:ascii="Times New Roman" w:hAnsi="Times New Roman" w:cs="Times New Roman"/>
        </w:rPr>
        <w:t xml:space="preserve"> et Bianco </w:t>
      </w:r>
      <w:r w:rsidR="00C35D4E">
        <w:rPr>
          <w:rFonts w:ascii="Times New Roman" w:hAnsi="Times New Roman" w:cs="Times New Roman"/>
        </w:rPr>
        <w:t xml:space="preserve">2014 : </w:t>
      </w:r>
      <w:r w:rsidR="001B5E89" w:rsidRPr="00E25837">
        <w:rPr>
          <w:rFonts w:ascii="Times New Roman" w:hAnsi="Times New Roman" w:cs="Times New Roman"/>
        </w:rPr>
        <w:t xml:space="preserve">22). </w:t>
      </w:r>
    </w:p>
    <w:p w14:paraId="024C76F6" w14:textId="0519C778" w:rsidR="0019534A" w:rsidRPr="00E25837" w:rsidRDefault="001B5E89" w:rsidP="00BA43F7">
      <w:pPr>
        <w:spacing w:before="120" w:after="120" w:line="360" w:lineRule="auto"/>
        <w:jc w:val="both"/>
        <w:rPr>
          <w:rFonts w:ascii="Times New Roman" w:hAnsi="Times New Roman" w:cs="Times New Roman"/>
        </w:rPr>
      </w:pPr>
      <w:r w:rsidRPr="00E25837">
        <w:rPr>
          <w:rFonts w:ascii="Times New Roman" w:hAnsi="Times New Roman" w:cs="Times New Roman"/>
        </w:rPr>
        <w:t xml:space="preserve">Ce problème est d’ailleurs particulièrement présent dans le cas de l’Union européenne puisque la Commission a clairement affirmé qu’elle n’envisageait pas de créer un modèle unique (« </w:t>
      </w:r>
      <w:r w:rsidRPr="00E25837">
        <w:rPr>
          <w:rFonts w:ascii="Times New Roman" w:hAnsi="Times New Roman" w:cs="Times New Roman"/>
          <w:i/>
        </w:rPr>
        <w:t xml:space="preserve">no size </w:t>
      </w:r>
      <w:proofErr w:type="spellStart"/>
      <w:r w:rsidRPr="00E25837">
        <w:rPr>
          <w:rFonts w:ascii="Times New Roman" w:hAnsi="Times New Roman" w:cs="Times New Roman"/>
          <w:i/>
        </w:rPr>
        <w:t>fits</w:t>
      </w:r>
      <w:proofErr w:type="spellEnd"/>
      <w:r w:rsidRPr="00E25837">
        <w:rPr>
          <w:rFonts w:ascii="Times New Roman" w:hAnsi="Times New Roman" w:cs="Times New Roman"/>
          <w:i/>
        </w:rPr>
        <w:t xml:space="preserve"> all model </w:t>
      </w:r>
      <w:r w:rsidRPr="00E25837">
        <w:rPr>
          <w:rFonts w:ascii="Times New Roman" w:hAnsi="Times New Roman" w:cs="Times New Roman"/>
        </w:rPr>
        <w:t>»)</w:t>
      </w:r>
      <w:r w:rsidR="00EC5EFE" w:rsidRPr="00E25837">
        <w:rPr>
          <w:rFonts w:ascii="Times New Roman" w:hAnsi="Times New Roman" w:cs="Times New Roman"/>
        </w:rPr>
        <w:t xml:space="preserve"> dans sa réponse à la résolution du Parlement européen sur le futur du droit international des investissements</w:t>
      </w:r>
      <w:r w:rsidRPr="00E25837">
        <w:rPr>
          <w:rFonts w:ascii="Times New Roman" w:hAnsi="Times New Roman" w:cs="Times New Roman"/>
        </w:rPr>
        <w:t xml:space="preserve"> (</w:t>
      </w:r>
      <w:r w:rsidR="00735E10">
        <w:rPr>
          <w:rFonts w:ascii="Times New Roman" w:hAnsi="Times New Roman" w:cs="Times New Roman"/>
        </w:rPr>
        <w:t>Commission européenne</w:t>
      </w:r>
      <w:r w:rsidR="00EC5EFE" w:rsidRPr="00E25837">
        <w:rPr>
          <w:rFonts w:ascii="Times New Roman" w:hAnsi="Times New Roman" w:cs="Times New Roman"/>
        </w:rPr>
        <w:t xml:space="preserve"> 2011</w:t>
      </w:r>
      <w:r w:rsidR="00735E10">
        <w:rPr>
          <w:rFonts w:ascii="Times New Roman" w:hAnsi="Times New Roman" w:cs="Times New Roman"/>
        </w:rPr>
        <w:t xml:space="preserve">; Calamita 2012; De </w:t>
      </w:r>
      <w:proofErr w:type="spellStart"/>
      <w:r w:rsidR="00735E10">
        <w:rPr>
          <w:rFonts w:ascii="Times New Roman" w:hAnsi="Times New Roman" w:cs="Times New Roman"/>
        </w:rPr>
        <w:t>Mestral</w:t>
      </w:r>
      <w:proofErr w:type="spellEnd"/>
      <w:r w:rsidR="00736C5B" w:rsidRPr="00E25837">
        <w:rPr>
          <w:rFonts w:ascii="Times New Roman" w:hAnsi="Times New Roman" w:cs="Times New Roman"/>
        </w:rPr>
        <w:t xml:space="preserve"> 2013</w:t>
      </w:r>
      <w:r w:rsidR="00EC5EFE" w:rsidRPr="00E25837">
        <w:rPr>
          <w:rFonts w:ascii="Times New Roman" w:hAnsi="Times New Roman" w:cs="Times New Roman"/>
        </w:rPr>
        <w:t>)</w:t>
      </w:r>
      <w:r w:rsidR="00736C5B" w:rsidRPr="00E25837">
        <w:rPr>
          <w:rFonts w:ascii="Times New Roman" w:hAnsi="Times New Roman" w:cs="Times New Roman"/>
        </w:rPr>
        <w:t xml:space="preserve">. </w:t>
      </w:r>
      <w:r w:rsidR="009A6400">
        <w:rPr>
          <w:rFonts w:ascii="Times New Roman" w:hAnsi="Times New Roman" w:cs="Times New Roman"/>
        </w:rPr>
        <w:t>La Commission soutient que de cette mani</w:t>
      </w:r>
      <w:r w:rsidR="00A456A2">
        <w:rPr>
          <w:rFonts w:ascii="Times New Roman" w:hAnsi="Times New Roman" w:cs="Times New Roman"/>
        </w:rPr>
        <w:t xml:space="preserve">ère </w:t>
      </w:r>
      <w:r w:rsidR="009A6400">
        <w:rPr>
          <w:rFonts w:ascii="Times New Roman" w:hAnsi="Times New Roman" w:cs="Times New Roman"/>
        </w:rPr>
        <w:t>elle vise à maintenir une plus grande flexibilité et liberté dans ses</w:t>
      </w:r>
      <w:r w:rsidR="00A456A2">
        <w:rPr>
          <w:rFonts w:ascii="Times New Roman" w:hAnsi="Times New Roman" w:cs="Times New Roman"/>
        </w:rPr>
        <w:t xml:space="preserve"> futures</w:t>
      </w:r>
      <w:r w:rsidR="00735E10">
        <w:rPr>
          <w:rFonts w:ascii="Times New Roman" w:hAnsi="Times New Roman" w:cs="Times New Roman"/>
        </w:rPr>
        <w:t xml:space="preserve"> négociations (</w:t>
      </w:r>
      <w:proofErr w:type="spellStart"/>
      <w:r w:rsidR="00735E10">
        <w:rPr>
          <w:rFonts w:ascii="Times New Roman" w:hAnsi="Times New Roman" w:cs="Times New Roman"/>
        </w:rPr>
        <w:t>Bungenberg</w:t>
      </w:r>
      <w:proofErr w:type="spellEnd"/>
      <w:r w:rsidR="00735E10">
        <w:rPr>
          <w:rFonts w:ascii="Times New Roman" w:hAnsi="Times New Roman" w:cs="Times New Roman"/>
        </w:rPr>
        <w:t xml:space="preserve"> et </w:t>
      </w:r>
      <w:proofErr w:type="spellStart"/>
      <w:r w:rsidR="00735E10">
        <w:rPr>
          <w:rFonts w:ascii="Times New Roman" w:hAnsi="Times New Roman" w:cs="Times New Roman"/>
        </w:rPr>
        <w:t>Reinisch</w:t>
      </w:r>
      <w:proofErr w:type="spellEnd"/>
      <w:r w:rsidR="009A6400">
        <w:rPr>
          <w:rFonts w:ascii="Times New Roman" w:hAnsi="Times New Roman" w:cs="Times New Roman"/>
        </w:rPr>
        <w:t xml:space="preserve"> 2014 : 376). </w:t>
      </w:r>
      <w:r w:rsidR="00A456A2">
        <w:rPr>
          <w:rFonts w:ascii="Times New Roman" w:hAnsi="Times New Roman" w:cs="Times New Roman"/>
        </w:rPr>
        <w:t>La publication d’un modèle d’accord vient d’ailleurs souvent après qu’un État ait acquis une certaine expérience en négociant quelques traités bilatérau</w:t>
      </w:r>
      <w:r w:rsidR="00735E10">
        <w:rPr>
          <w:rFonts w:ascii="Times New Roman" w:hAnsi="Times New Roman" w:cs="Times New Roman"/>
        </w:rPr>
        <w:t>x d’investissement (</w:t>
      </w:r>
      <w:proofErr w:type="spellStart"/>
      <w:r w:rsidR="00735E10">
        <w:rPr>
          <w:rFonts w:ascii="Times New Roman" w:hAnsi="Times New Roman" w:cs="Times New Roman"/>
        </w:rPr>
        <w:t>Bungenberg</w:t>
      </w:r>
      <w:proofErr w:type="spellEnd"/>
      <w:r w:rsidR="00735E10">
        <w:rPr>
          <w:rFonts w:ascii="Times New Roman" w:hAnsi="Times New Roman" w:cs="Times New Roman"/>
        </w:rPr>
        <w:t xml:space="preserve"> et</w:t>
      </w:r>
      <w:r w:rsidR="00A456A2">
        <w:rPr>
          <w:rFonts w:ascii="Times New Roman" w:hAnsi="Times New Roman" w:cs="Times New Roman"/>
        </w:rPr>
        <w:t xml:space="preserve"> </w:t>
      </w:r>
      <w:proofErr w:type="spellStart"/>
      <w:r w:rsidR="00A456A2">
        <w:rPr>
          <w:rFonts w:ascii="Times New Roman" w:hAnsi="Times New Roman" w:cs="Times New Roman"/>
        </w:rPr>
        <w:t>Reinisch</w:t>
      </w:r>
      <w:proofErr w:type="spellEnd"/>
      <w:r w:rsidR="00A456A2">
        <w:rPr>
          <w:rFonts w:ascii="Times New Roman" w:hAnsi="Times New Roman" w:cs="Times New Roman"/>
        </w:rPr>
        <w:t>, 2014 : 376).</w:t>
      </w:r>
    </w:p>
    <w:p w14:paraId="7296892A" w14:textId="58490E8B" w:rsidR="001B5E89" w:rsidRPr="00E25837" w:rsidRDefault="00A456A2" w:rsidP="00BA43F7">
      <w:pPr>
        <w:spacing w:before="120" w:after="120" w:line="360" w:lineRule="auto"/>
        <w:jc w:val="both"/>
        <w:rPr>
          <w:rFonts w:ascii="Times New Roman" w:hAnsi="Times New Roman" w:cs="Times New Roman"/>
        </w:rPr>
      </w:pPr>
      <w:r>
        <w:rPr>
          <w:rFonts w:ascii="Times New Roman" w:hAnsi="Times New Roman" w:cs="Times New Roman"/>
        </w:rPr>
        <w:t>Malgré cette affirmation et cette absence de modèle</w:t>
      </w:r>
      <w:r w:rsidR="00736C5B" w:rsidRPr="00E25837">
        <w:rPr>
          <w:rFonts w:ascii="Times New Roman" w:hAnsi="Times New Roman" w:cs="Times New Roman"/>
        </w:rPr>
        <w:t xml:space="preserve">, </w:t>
      </w:r>
      <w:r w:rsidR="00D6278D" w:rsidRPr="00E25837">
        <w:rPr>
          <w:rFonts w:ascii="Times New Roman" w:hAnsi="Times New Roman" w:cs="Times New Roman"/>
        </w:rPr>
        <w:t xml:space="preserve">il serait faux de croire que la Commission européenne ne maintiendra pas une approche relativement constante au cours de ses futures négociations. </w:t>
      </w:r>
      <w:r w:rsidR="0019534A" w:rsidRPr="00E25837">
        <w:rPr>
          <w:rFonts w:ascii="Times New Roman" w:hAnsi="Times New Roman" w:cs="Times New Roman"/>
        </w:rPr>
        <w:t>Il est tout d’abord notable que les mandats de négociation confiés à la Commission européenne dan</w:t>
      </w:r>
      <w:r w:rsidR="009C303E" w:rsidRPr="00E25837">
        <w:rPr>
          <w:rFonts w:ascii="Times New Roman" w:hAnsi="Times New Roman" w:cs="Times New Roman"/>
        </w:rPr>
        <w:t>s le cadre des négociations de ses</w:t>
      </w:r>
      <w:r w:rsidR="0019534A" w:rsidRPr="00E25837">
        <w:rPr>
          <w:rFonts w:ascii="Times New Roman" w:hAnsi="Times New Roman" w:cs="Times New Roman"/>
        </w:rPr>
        <w:t xml:space="preserve"> chapitre</w:t>
      </w:r>
      <w:r w:rsidR="009C303E" w:rsidRPr="00E25837">
        <w:rPr>
          <w:rFonts w:ascii="Times New Roman" w:hAnsi="Times New Roman" w:cs="Times New Roman"/>
        </w:rPr>
        <w:t>s</w:t>
      </w:r>
      <w:r w:rsidR="0019534A" w:rsidRPr="00E25837">
        <w:rPr>
          <w:rFonts w:ascii="Times New Roman" w:hAnsi="Times New Roman" w:cs="Times New Roman"/>
        </w:rPr>
        <w:t xml:space="preserve"> sur l’investissement avec</w:t>
      </w:r>
      <w:r w:rsidR="009C303E" w:rsidRPr="00E25837">
        <w:rPr>
          <w:rFonts w:ascii="Times New Roman" w:hAnsi="Times New Roman" w:cs="Times New Roman"/>
        </w:rPr>
        <w:t xml:space="preserve"> le Canada, Singapour et l’Inde étaient </w:t>
      </w:r>
      <w:r w:rsidR="00735E10">
        <w:rPr>
          <w:rFonts w:ascii="Times New Roman" w:hAnsi="Times New Roman" w:cs="Times New Roman"/>
        </w:rPr>
        <w:t>très généraux (Calamita</w:t>
      </w:r>
      <w:r w:rsidR="0019534A" w:rsidRPr="00E25837">
        <w:rPr>
          <w:rFonts w:ascii="Times New Roman" w:hAnsi="Times New Roman" w:cs="Times New Roman"/>
        </w:rPr>
        <w:t xml:space="preserve"> 2012 : 320-321). Il ne semble donc pas que l’Union européenne tente réellement de modifier </w:t>
      </w:r>
      <w:r w:rsidR="009C303E" w:rsidRPr="00E25837">
        <w:rPr>
          <w:rFonts w:ascii="Times New Roman" w:hAnsi="Times New Roman" w:cs="Times New Roman"/>
        </w:rPr>
        <w:t>ou influencer</w:t>
      </w:r>
      <w:r w:rsidR="00ED2DCB">
        <w:rPr>
          <w:rFonts w:ascii="Times New Roman" w:hAnsi="Times New Roman" w:cs="Times New Roman"/>
        </w:rPr>
        <w:t xml:space="preserve"> significativement</w:t>
      </w:r>
      <w:r w:rsidR="009C303E" w:rsidRPr="00E25837">
        <w:rPr>
          <w:rFonts w:ascii="Times New Roman" w:hAnsi="Times New Roman" w:cs="Times New Roman"/>
        </w:rPr>
        <w:t xml:space="preserve"> </w:t>
      </w:r>
      <w:r w:rsidR="0019534A" w:rsidRPr="00E25837">
        <w:rPr>
          <w:rFonts w:ascii="Times New Roman" w:hAnsi="Times New Roman" w:cs="Times New Roman"/>
        </w:rPr>
        <w:t xml:space="preserve">sa </w:t>
      </w:r>
      <w:r w:rsidR="009C303E" w:rsidRPr="00E25837">
        <w:rPr>
          <w:rFonts w:ascii="Times New Roman" w:hAnsi="Times New Roman" w:cs="Times New Roman"/>
        </w:rPr>
        <w:t>politique selon son partenaire</w:t>
      </w:r>
      <w:r w:rsidR="0019534A" w:rsidRPr="00E25837">
        <w:rPr>
          <w:rFonts w:ascii="Times New Roman" w:hAnsi="Times New Roman" w:cs="Times New Roman"/>
        </w:rPr>
        <w:t xml:space="preserve">. De plus, </w:t>
      </w:r>
      <w:r w:rsidR="009C303E" w:rsidRPr="00E25837">
        <w:rPr>
          <w:rFonts w:ascii="Times New Roman" w:hAnsi="Times New Roman" w:cs="Times New Roman"/>
        </w:rPr>
        <w:t>Meunier et Morin soulignent</w:t>
      </w:r>
      <w:r w:rsidR="0019534A" w:rsidRPr="00E25837">
        <w:rPr>
          <w:rFonts w:ascii="Times New Roman" w:hAnsi="Times New Roman" w:cs="Times New Roman"/>
        </w:rPr>
        <w:t xml:space="preserve"> </w:t>
      </w:r>
      <w:r w:rsidR="00D6278D" w:rsidRPr="00E25837">
        <w:rPr>
          <w:rFonts w:ascii="Times New Roman" w:hAnsi="Times New Roman" w:cs="Times New Roman"/>
        </w:rPr>
        <w:t xml:space="preserve">que les négociateurs européens, </w:t>
      </w:r>
      <w:r w:rsidR="00ED2DCB">
        <w:rPr>
          <w:rFonts w:ascii="Times New Roman" w:hAnsi="Times New Roman" w:cs="Times New Roman"/>
        </w:rPr>
        <w:t>à l’instar des américains</w:t>
      </w:r>
      <w:r w:rsidR="00D6278D" w:rsidRPr="00E25837">
        <w:rPr>
          <w:rFonts w:ascii="Times New Roman" w:hAnsi="Times New Roman" w:cs="Times New Roman"/>
        </w:rPr>
        <w:t xml:space="preserve">, sont généralement les mêmes au sein </w:t>
      </w:r>
      <w:r w:rsidR="005C5042" w:rsidRPr="00E25837">
        <w:rPr>
          <w:rFonts w:ascii="Times New Roman" w:hAnsi="Times New Roman" w:cs="Times New Roman"/>
        </w:rPr>
        <w:t xml:space="preserve">des </w:t>
      </w:r>
      <w:r w:rsidR="0019534A" w:rsidRPr="00E25837">
        <w:rPr>
          <w:rFonts w:ascii="Times New Roman" w:hAnsi="Times New Roman" w:cs="Times New Roman"/>
        </w:rPr>
        <w:t xml:space="preserve">diverses </w:t>
      </w:r>
      <w:r w:rsidR="005C5042" w:rsidRPr="00E25837">
        <w:rPr>
          <w:rFonts w:ascii="Times New Roman" w:hAnsi="Times New Roman" w:cs="Times New Roman"/>
        </w:rPr>
        <w:t xml:space="preserve">négociations </w:t>
      </w:r>
      <w:r w:rsidR="0019534A" w:rsidRPr="00E25837">
        <w:rPr>
          <w:rFonts w:ascii="Times New Roman" w:hAnsi="Times New Roman" w:cs="Times New Roman"/>
        </w:rPr>
        <w:t xml:space="preserve">commerciales ayant lieu au cours d’une même période de temps </w:t>
      </w:r>
      <w:r w:rsidR="005C5042" w:rsidRPr="00E25837">
        <w:rPr>
          <w:rFonts w:ascii="Times New Roman" w:hAnsi="Times New Roman" w:cs="Times New Roman"/>
        </w:rPr>
        <w:t xml:space="preserve">(2015 : 151). Si cela favorise le transfert d’idées, </w:t>
      </w:r>
      <w:r w:rsidR="00ED2DCB">
        <w:rPr>
          <w:rFonts w:ascii="Times New Roman" w:hAnsi="Times New Roman" w:cs="Times New Roman"/>
        </w:rPr>
        <w:t>cela se traduit</w:t>
      </w:r>
      <w:r w:rsidR="005C5042" w:rsidRPr="00E25837">
        <w:rPr>
          <w:rFonts w:ascii="Times New Roman" w:hAnsi="Times New Roman" w:cs="Times New Roman"/>
        </w:rPr>
        <w:t xml:space="preserve"> </w:t>
      </w:r>
      <w:r w:rsidR="0019534A" w:rsidRPr="00E25837">
        <w:rPr>
          <w:rFonts w:ascii="Times New Roman" w:hAnsi="Times New Roman" w:cs="Times New Roman"/>
        </w:rPr>
        <w:t xml:space="preserve">également </w:t>
      </w:r>
      <w:r w:rsidR="00ED2DCB">
        <w:rPr>
          <w:rFonts w:ascii="Times New Roman" w:hAnsi="Times New Roman" w:cs="Times New Roman"/>
        </w:rPr>
        <w:t xml:space="preserve">par </w:t>
      </w:r>
      <w:r w:rsidR="005C5042" w:rsidRPr="00E25837">
        <w:rPr>
          <w:rFonts w:ascii="Times New Roman" w:hAnsi="Times New Roman" w:cs="Times New Roman"/>
        </w:rPr>
        <w:t>une certaine uniformité dans la position défendue par les négociateurs européens. De plus, comme Calamita le souligne, avec l’inclusion de clause de la nation la plus favorisée (NPF), clause ayant indirectement pour effet de forcer les États à offrir le même traitement à tous leurs partenaires, les États ne peuvent tout simplement pas avoir une approche personnalisée à chaque négociat</w:t>
      </w:r>
      <w:r w:rsidR="0019534A" w:rsidRPr="00E25837">
        <w:rPr>
          <w:rFonts w:ascii="Times New Roman" w:hAnsi="Times New Roman" w:cs="Times New Roman"/>
        </w:rPr>
        <w:t>ion (2012 : 321). Cela serait</w:t>
      </w:r>
      <w:r w:rsidR="005C5042" w:rsidRPr="00E25837">
        <w:rPr>
          <w:rFonts w:ascii="Times New Roman" w:hAnsi="Times New Roman" w:cs="Times New Roman"/>
        </w:rPr>
        <w:t xml:space="preserve"> inutile</w:t>
      </w:r>
      <w:r w:rsidR="0019534A" w:rsidRPr="00E25837">
        <w:rPr>
          <w:rFonts w:ascii="Times New Roman" w:hAnsi="Times New Roman" w:cs="Times New Roman"/>
        </w:rPr>
        <w:t>, contreproductif</w:t>
      </w:r>
      <w:r w:rsidR="005C5042" w:rsidRPr="00E25837">
        <w:rPr>
          <w:rFonts w:ascii="Times New Roman" w:hAnsi="Times New Roman" w:cs="Times New Roman"/>
        </w:rPr>
        <w:t xml:space="preserve"> et </w:t>
      </w:r>
      <w:r w:rsidR="0019534A" w:rsidRPr="00E25837">
        <w:rPr>
          <w:rFonts w:ascii="Times New Roman" w:hAnsi="Times New Roman" w:cs="Times New Roman"/>
        </w:rPr>
        <w:t>possiblement néfaste puisque cela pourrait obliger un État à offrir un traitement qu’il aurait préféré ne pas offrir à tous ses partenaires</w:t>
      </w:r>
      <w:r w:rsidR="00735E10">
        <w:rPr>
          <w:rFonts w:ascii="Times New Roman" w:hAnsi="Times New Roman" w:cs="Times New Roman"/>
        </w:rPr>
        <w:t xml:space="preserve"> (Titi</w:t>
      </w:r>
      <w:r w:rsidR="005131FA">
        <w:rPr>
          <w:rFonts w:ascii="Times New Roman" w:hAnsi="Times New Roman" w:cs="Times New Roman"/>
        </w:rPr>
        <w:t xml:space="preserve"> 2014 : 540)</w:t>
      </w:r>
      <w:r w:rsidR="0019534A" w:rsidRPr="00E25837">
        <w:rPr>
          <w:rFonts w:ascii="Times New Roman" w:hAnsi="Times New Roman" w:cs="Times New Roman"/>
        </w:rPr>
        <w:t xml:space="preserve">. En somme, il n’apparait pas étonnant de lire des articles soulignant qu’une certaine convergence semble s’installer au sein du droit international des investissements </w:t>
      </w:r>
      <w:r w:rsidR="009C303E" w:rsidRPr="00E25837">
        <w:rPr>
          <w:rFonts w:ascii="Times New Roman" w:hAnsi="Times New Roman" w:cs="Times New Roman"/>
        </w:rPr>
        <w:t>(</w:t>
      </w:r>
      <w:proofErr w:type="spellStart"/>
      <w:r w:rsidR="00735E10">
        <w:rPr>
          <w:rFonts w:ascii="Times New Roman" w:hAnsi="Times New Roman" w:cs="Times New Roman"/>
        </w:rPr>
        <w:t>Fontanelli</w:t>
      </w:r>
      <w:proofErr w:type="spellEnd"/>
      <w:r w:rsidR="00735E10">
        <w:rPr>
          <w:rFonts w:ascii="Times New Roman" w:hAnsi="Times New Roman" w:cs="Times New Roman"/>
        </w:rPr>
        <w:t xml:space="preserve"> et Bianco 2014</w:t>
      </w:r>
      <w:r w:rsidR="009C303E" w:rsidRPr="00E25837">
        <w:rPr>
          <w:rFonts w:ascii="Times New Roman" w:hAnsi="Times New Roman" w:cs="Times New Roman"/>
        </w:rPr>
        <w:t xml:space="preserve">). Dans ce contexte, il n’est </w:t>
      </w:r>
      <w:r w:rsidR="0019534A" w:rsidRPr="00E25837">
        <w:rPr>
          <w:rFonts w:ascii="Times New Roman" w:hAnsi="Times New Roman" w:cs="Times New Roman"/>
        </w:rPr>
        <w:t>pas</w:t>
      </w:r>
      <w:r>
        <w:rPr>
          <w:rFonts w:ascii="Times New Roman" w:hAnsi="Times New Roman" w:cs="Times New Roman"/>
        </w:rPr>
        <w:t xml:space="preserve"> aussi</w:t>
      </w:r>
      <w:r w:rsidR="0019534A" w:rsidRPr="00E25837">
        <w:rPr>
          <w:rFonts w:ascii="Times New Roman" w:hAnsi="Times New Roman" w:cs="Times New Roman"/>
        </w:rPr>
        <w:t xml:space="preserve"> </w:t>
      </w:r>
      <w:r w:rsidR="009C303E" w:rsidRPr="00E25837">
        <w:rPr>
          <w:rFonts w:ascii="Times New Roman" w:hAnsi="Times New Roman" w:cs="Times New Roman"/>
        </w:rPr>
        <w:t>insensé</w:t>
      </w:r>
      <w:r w:rsidR="0019534A" w:rsidRPr="00E25837">
        <w:rPr>
          <w:rFonts w:ascii="Times New Roman" w:hAnsi="Times New Roman" w:cs="Times New Roman"/>
        </w:rPr>
        <w:t xml:space="preserve"> </w:t>
      </w:r>
      <w:r>
        <w:rPr>
          <w:rFonts w:ascii="Times New Roman" w:hAnsi="Times New Roman" w:cs="Times New Roman"/>
        </w:rPr>
        <w:t xml:space="preserve">qu’on pourrait le penser </w:t>
      </w:r>
      <w:r w:rsidR="0019534A" w:rsidRPr="00E25837">
        <w:rPr>
          <w:rFonts w:ascii="Times New Roman" w:hAnsi="Times New Roman" w:cs="Times New Roman"/>
        </w:rPr>
        <w:t>de voulo</w:t>
      </w:r>
      <w:r w:rsidR="009C303E" w:rsidRPr="00E25837">
        <w:rPr>
          <w:rFonts w:ascii="Times New Roman" w:hAnsi="Times New Roman" w:cs="Times New Roman"/>
        </w:rPr>
        <w:t>ir dégager un modèle</w:t>
      </w:r>
      <w:r>
        <w:rPr>
          <w:rFonts w:ascii="Times New Roman" w:hAnsi="Times New Roman" w:cs="Times New Roman"/>
        </w:rPr>
        <w:t xml:space="preserve"> d’accord sur l’investissement</w:t>
      </w:r>
      <w:r w:rsidR="009C303E" w:rsidRPr="00E25837">
        <w:rPr>
          <w:rFonts w:ascii="Times New Roman" w:hAnsi="Times New Roman" w:cs="Times New Roman"/>
        </w:rPr>
        <w:t xml:space="preserve"> européen.</w:t>
      </w:r>
    </w:p>
    <w:p w14:paraId="5A4DFA4F" w14:textId="08CC9D29" w:rsidR="00201D25" w:rsidRDefault="00ED2DCB" w:rsidP="00BA43F7">
      <w:pPr>
        <w:spacing w:before="120" w:after="120" w:line="360" w:lineRule="auto"/>
        <w:jc w:val="both"/>
        <w:rPr>
          <w:rFonts w:ascii="Times New Roman" w:hAnsi="Times New Roman" w:cs="Times New Roman"/>
        </w:rPr>
      </w:pPr>
      <w:r>
        <w:rPr>
          <w:rFonts w:ascii="Times New Roman" w:hAnsi="Times New Roman" w:cs="Times New Roman"/>
        </w:rPr>
        <w:lastRenderedPageBreak/>
        <w:t xml:space="preserve">Il </w:t>
      </w:r>
      <w:proofErr w:type="spellStart"/>
      <w:r>
        <w:rPr>
          <w:rFonts w:ascii="Times New Roman" w:hAnsi="Times New Roman" w:cs="Times New Roman"/>
        </w:rPr>
        <w:t>apparaît</w:t>
      </w:r>
      <w:proofErr w:type="spellEnd"/>
      <w:r>
        <w:rPr>
          <w:rFonts w:ascii="Times New Roman" w:hAnsi="Times New Roman" w:cs="Times New Roman"/>
        </w:rPr>
        <w:t xml:space="preserve"> toutefois difficile d’affirmer</w:t>
      </w:r>
      <w:r w:rsidR="009C303E" w:rsidRPr="00E25837">
        <w:rPr>
          <w:rFonts w:ascii="Times New Roman" w:hAnsi="Times New Roman" w:cs="Times New Roman"/>
        </w:rPr>
        <w:t xml:space="preserve"> que la seule utilisation de texte </w:t>
      </w:r>
      <w:r w:rsidR="00CF0CA6" w:rsidRPr="00E25837">
        <w:rPr>
          <w:rFonts w:ascii="Times New Roman" w:hAnsi="Times New Roman" w:cs="Times New Roman"/>
        </w:rPr>
        <w:t xml:space="preserve">juridique ou des documents de travail européen </w:t>
      </w:r>
      <w:r>
        <w:rPr>
          <w:rFonts w:ascii="Times New Roman" w:hAnsi="Times New Roman" w:cs="Times New Roman"/>
        </w:rPr>
        <w:t>puisse</w:t>
      </w:r>
      <w:r w:rsidR="00CF0CA6" w:rsidRPr="00E25837">
        <w:rPr>
          <w:rFonts w:ascii="Times New Roman" w:hAnsi="Times New Roman" w:cs="Times New Roman"/>
        </w:rPr>
        <w:t xml:space="preserve"> permettre de bien dégager le modèle d’accord européen, surtout à une époque </w:t>
      </w:r>
      <w:r w:rsidR="00A456A2">
        <w:rPr>
          <w:rFonts w:ascii="Times New Roman" w:hAnsi="Times New Roman" w:cs="Times New Roman"/>
        </w:rPr>
        <w:t xml:space="preserve">où il est encore développement. </w:t>
      </w:r>
      <w:r w:rsidR="00CF0CA6" w:rsidRPr="00E25837">
        <w:rPr>
          <w:rFonts w:ascii="Times New Roman" w:hAnsi="Times New Roman" w:cs="Times New Roman"/>
        </w:rPr>
        <w:t xml:space="preserve">Il ne sera ici pas contesté que la tenue d’entrevue avec des négociateurs européens </w:t>
      </w:r>
      <w:r>
        <w:rPr>
          <w:rFonts w:ascii="Times New Roman" w:hAnsi="Times New Roman" w:cs="Times New Roman"/>
        </w:rPr>
        <w:t xml:space="preserve">aurait </w:t>
      </w:r>
      <w:r w:rsidR="00CF0CA6" w:rsidRPr="00E25837">
        <w:rPr>
          <w:rFonts w:ascii="Times New Roman" w:hAnsi="Times New Roman" w:cs="Times New Roman"/>
        </w:rPr>
        <w:t xml:space="preserve">été une étape </w:t>
      </w:r>
      <w:r w:rsidR="00201D25">
        <w:rPr>
          <w:rFonts w:ascii="Times New Roman" w:hAnsi="Times New Roman" w:cs="Times New Roman"/>
        </w:rPr>
        <w:t>plus qu’</w:t>
      </w:r>
      <w:r w:rsidR="00CF0CA6" w:rsidRPr="00E25837">
        <w:rPr>
          <w:rFonts w:ascii="Times New Roman" w:hAnsi="Times New Roman" w:cs="Times New Roman"/>
        </w:rPr>
        <w:t>utile pour compléter les différentes comparaisons précédemment présentées</w:t>
      </w:r>
      <w:r w:rsidR="00735E10">
        <w:rPr>
          <w:rFonts w:ascii="Times New Roman" w:hAnsi="Times New Roman" w:cs="Times New Roman"/>
        </w:rPr>
        <w:t xml:space="preserve"> (</w:t>
      </w:r>
      <w:proofErr w:type="spellStart"/>
      <w:r w:rsidR="00735E10">
        <w:rPr>
          <w:rFonts w:ascii="Times New Roman" w:hAnsi="Times New Roman" w:cs="Times New Roman"/>
        </w:rPr>
        <w:t>Poulsen</w:t>
      </w:r>
      <w:proofErr w:type="spellEnd"/>
      <w:r w:rsidR="00201D25">
        <w:rPr>
          <w:rFonts w:ascii="Times New Roman" w:hAnsi="Times New Roman" w:cs="Times New Roman"/>
        </w:rPr>
        <w:t xml:space="preserve"> 2015 : 23)</w:t>
      </w:r>
      <w:r w:rsidR="00CF0CA6" w:rsidRPr="00E25837">
        <w:rPr>
          <w:rFonts w:ascii="Times New Roman" w:hAnsi="Times New Roman" w:cs="Times New Roman"/>
        </w:rPr>
        <w:t xml:space="preserve">. Cela aurait toutefois demandé des ressources dépassant largement celles disponibles aux fins de la présente recherche. </w:t>
      </w:r>
      <w:r w:rsidR="005F0F53" w:rsidRPr="00E25837">
        <w:rPr>
          <w:rFonts w:ascii="Times New Roman" w:hAnsi="Times New Roman" w:cs="Times New Roman"/>
        </w:rPr>
        <w:t xml:space="preserve">Il ne faudrait cependant pas </w:t>
      </w:r>
      <w:r>
        <w:rPr>
          <w:rFonts w:ascii="Times New Roman" w:hAnsi="Times New Roman" w:cs="Times New Roman"/>
        </w:rPr>
        <w:t>en tirer la conclusion</w:t>
      </w:r>
      <w:r w:rsidR="005F0F53" w:rsidRPr="00E25837">
        <w:rPr>
          <w:rFonts w:ascii="Times New Roman" w:hAnsi="Times New Roman" w:cs="Times New Roman"/>
        </w:rPr>
        <w:t xml:space="preserve"> que la seule utilisation de textes publiés ne permette pas d’obtenir des résultats intéressants. Les textes juridiques utilisent un langage général</w:t>
      </w:r>
      <w:r>
        <w:rPr>
          <w:rFonts w:ascii="Times New Roman" w:hAnsi="Times New Roman" w:cs="Times New Roman"/>
        </w:rPr>
        <w:t>ement précis et similaire. Il s’avère</w:t>
      </w:r>
      <w:r w:rsidR="005F0F53" w:rsidRPr="00E25837">
        <w:rPr>
          <w:rFonts w:ascii="Times New Roman" w:hAnsi="Times New Roman" w:cs="Times New Roman"/>
        </w:rPr>
        <w:t xml:space="preserve"> donc beaucoup plus facile de faire des comparaisons et de dégager les origines d’une norme sans avoir à effectuer une série d’entrevues. De plus, l’utilisation de la littérature scientifique et des documents européens les plus</w:t>
      </w:r>
      <w:r w:rsidR="00A456A2">
        <w:rPr>
          <w:rFonts w:ascii="Times New Roman" w:hAnsi="Times New Roman" w:cs="Times New Roman"/>
        </w:rPr>
        <w:t xml:space="preserve"> actuels </w:t>
      </w:r>
      <w:r w:rsidR="004120A1">
        <w:rPr>
          <w:rFonts w:ascii="Times New Roman" w:hAnsi="Times New Roman" w:cs="Times New Roman"/>
        </w:rPr>
        <w:t>a permis</w:t>
      </w:r>
      <w:r w:rsidR="005156B0">
        <w:rPr>
          <w:rFonts w:ascii="Times New Roman" w:hAnsi="Times New Roman" w:cs="Times New Roman"/>
        </w:rPr>
        <w:t xml:space="preserve"> de maintenir le modèle dégagé le plus près des évolutions et changements de politique au sein de la Commission européenne</w:t>
      </w:r>
      <w:r w:rsidR="00D53D40">
        <w:rPr>
          <w:rFonts w:ascii="Times New Roman" w:hAnsi="Times New Roman" w:cs="Times New Roman"/>
        </w:rPr>
        <w:t>.</w:t>
      </w:r>
      <w:r w:rsidR="004120A1">
        <w:rPr>
          <w:rFonts w:ascii="Times New Roman" w:hAnsi="Times New Roman" w:cs="Times New Roman"/>
        </w:rPr>
        <w:t xml:space="preserve"> Cela n’exclut</w:t>
      </w:r>
      <w:r w:rsidR="005F0F53" w:rsidRPr="00E25837">
        <w:rPr>
          <w:rFonts w:ascii="Times New Roman" w:hAnsi="Times New Roman" w:cs="Times New Roman"/>
        </w:rPr>
        <w:t xml:space="preserve"> pas que dans le futur des entrevues pourraient </w:t>
      </w:r>
      <w:r w:rsidR="004120A1">
        <w:rPr>
          <w:rFonts w:ascii="Times New Roman" w:hAnsi="Times New Roman" w:cs="Times New Roman"/>
        </w:rPr>
        <w:t xml:space="preserve">ultérieurement </w:t>
      </w:r>
      <w:r w:rsidR="005F0F53" w:rsidRPr="00E25837">
        <w:rPr>
          <w:rFonts w:ascii="Times New Roman" w:hAnsi="Times New Roman" w:cs="Times New Roman"/>
        </w:rPr>
        <w:t xml:space="preserve">compléter les conclusions qui seront tirées dans la prochaine section. </w:t>
      </w:r>
    </w:p>
    <w:p w14:paraId="4D4D2D87" w14:textId="2F476A91" w:rsidR="1F6905BC" w:rsidRPr="006A5780" w:rsidRDefault="04DC667E" w:rsidP="00BA43F7">
      <w:pPr>
        <w:pStyle w:val="Titre1"/>
        <w:spacing w:before="120" w:after="120"/>
        <w:rPr>
          <w:rFonts w:ascii="Times New Roman" w:hAnsi="Times New Roman" w:cs="Times New Roman"/>
          <w:b/>
          <w:color w:val="auto"/>
          <w:sz w:val="28"/>
        </w:rPr>
      </w:pPr>
      <w:bookmarkStart w:id="12" w:name="_Toc313471464"/>
      <w:r w:rsidRPr="006A5780">
        <w:rPr>
          <w:rFonts w:ascii="Times New Roman" w:hAnsi="Times New Roman" w:cs="Times New Roman"/>
          <w:b/>
          <w:color w:val="auto"/>
          <w:sz w:val="28"/>
        </w:rPr>
        <w:t>4.</w:t>
      </w:r>
      <w:r w:rsidR="00C65322" w:rsidRPr="006A5780">
        <w:rPr>
          <w:rFonts w:ascii="Times New Roman" w:hAnsi="Times New Roman" w:cs="Times New Roman"/>
          <w:b/>
          <w:color w:val="auto"/>
          <w:sz w:val="28"/>
        </w:rPr>
        <w:t xml:space="preserve"> </w:t>
      </w:r>
      <w:r w:rsidR="00BA43F7" w:rsidRPr="006A5780">
        <w:rPr>
          <w:rFonts w:ascii="Times New Roman" w:hAnsi="Times New Roman" w:cs="Times New Roman"/>
          <w:b/>
          <w:color w:val="auto"/>
          <w:sz w:val="28"/>
        </w:rPr>
        <w:t>Quel</w:t>
      </w:r>
      <w:r w:rsidR="00C65322" w:rsidRPr="006A5780">
        <w:rPr>
          <w:rFonts w:ascii="Times New Roman" w:hAnsi="Times New Roman" w:cs="Times New Roman"/>
          <w:b/>
          <w:color w:val="auto"/>
          <w:sz w:val="28"/>
        </w:rPr>
        <w:t xml:space="preserve"> modèle d’accord </w:t>
      </w:r>
      <w:r w:rsidR="00BA43F7" w:rsidRPr="006A5780">
        <w:rPr>
          <w:rFonts w:ascii="Times New Roman" w:hAnsi="Times New Roman" w:cs="Times New Roman"/>
          <w:b/>
          <w:color w:val="auto"/>
          <w:sz w:val="28"/>
        </w:rPr>
        <w:t>pour l’Europe</w:t>
      </w:r>
      <w:r w:rsidR="00C65322" w:rsidRPr="006A5780">
        <w:rPr>
          <w:rFonts w:ascii="Times New Roman" w:hAnsi="Times New Roman" w:cs="Times New Roman"/>
          <w:b/>
          <w:color w:val="auto"/>
          <w:sz w:val="28"/>
        </w:rPr>
        <w:t xml:space="preserve"> ?</w:t>
      </w:r>
      <w:bookmarkEnd w:id="12"/>
      <w:r w:rsidR="00C65322" w:rsidRPr="006A5780">
        <w:rPr>
          <w:rFonts w:ascii="Times New Roman" w:hAnsi="Times New Roman" w:cs="Times New Roman"/>
          <w:b/>
          <w:color w:val="auto"/>
          <w:sz w:val="28"/>
        </w:rPr>
        <w:t xml:space="preserve"> </w:t>
      </w:r>
    </w:p>
    <w:p w14:paraId="66399405" w14:textId="4905EAC9" w:rsidR="001E5534" w:rsidRDefault="000A1774" w:rsidP="00BA43F7">
      <w:pPr>
        <w:spacing w:before="120" w:after="120" w:line="360" w:lineRule="auto"/>
        <w:jc w:val="both"/>
        <w:rPr>
          <w:rFonts w:ascii="Times New Roman" w:hAnsi="Times New Roman" w:cs="Times New Roman"/>
        </w:rPr>
      </w:pPr>
      <w:r>
        <w:rPr>
          <w:rFonts w:ascii="Times New Roman" w:hAnsi="Times New Roman" w:cs="Times New Roman"/>
        </w:rPr>
        <w:t>Le 11 mars 2011, l’accident nucléaire de Fukushima</w:t>
      </w:r>
      <w:r w:rsidR="004120A1">
        <w:rPr>
          <w:rFonts w:ascii="Times New Roman" w:hAnsi="Times New Roman" w:cs="Times New Roman"/>
        </w:rPr>
        <w:t>,</w:t>
      </w:r>
      <w:r>
        <w:rPr>
          <w:rFonts w:ascii="Times New Roman" w:hAnsi="Times New Roman" w:cs="Times New Roman"/>
        </w:rPr>
        <w:t xml:space="preserve"> causé par </w:t>
      </w:r>
      <w:r w:rsidR="00077D42">
        <w:rPr>
          <w:rFonts w:ascii="Times New Roman" w:hAnsi="Times New Roman" w:cs="Times New Roman"/>
        </w:rPr>
        <w:t>un</w:t>
      </w:r>
      <w:r>
        <w:rPr>
          <w:rFonts w:ascii="Times New Roman" w:hAnsi="Times New Roman" w:cs="Times New Roman"/>
        </w:rPr>
        <w:t xml:space="preserve"> séisme et le tsunami qui</w:t>
      </w:r>
      <w:r w:rsidR="00580B62">
        <w:rPr>
          <w:rFonts w:ascii="Times New Roman" w:hAnsi="Times New Roman" w:cs="Times New Roman"/>
        </w:rPr>
        <w:t xml:space="preserve"> s’ensuiv</w:t>
      </w:r>
      <w:r w:rsidR="004120A1">
        <w:rPr>
          <w:rFonts w:ascii="Times New Roman" w:hAnsi="Times New Roman" w:cs="Times New Roman"/>
        </w:rPr>
        <w:t>it sur les côtes japonaises, mit</w:t>
      </w:r>
      <w:r>
        <w:rPr>
          <w:rFonts w:ascii="Times New Roman" w:hAnsi="Times New Roman" w:cs="Times New Roman"/>
        </w:rPr>
        <w:t xml:space="preserve"> en lumière comme jamais auparavant les risques que </w:t>
      </w:r>
      <w:proofErr w:type="gramStart"/>
      <w:r>
        <w:rPr>
          <w:rFonts w:ascii="Times New Roman" w:hAnsi="Times New Roman" w:cs="Times New Roman"/>
        </w:rPr>
        <w:t>comportent</w:t>
      </w:r>
      <w:proofErr w:type="gramEnd"/>
      <w:r>
        <w:rPr>
          <w:rFonts w:ascii="Times New Roman" w:hAnsi="Times New Roman" w:cs="Times New Roman"/>
        </w:rPr>
        <w:t xml:space="preserve"> la production d’énergie nucléaire. </w:t>
      </w:r>
      <w:r w:rsidR="00E73078">
        <w:rPr>
          <w:rFonts w:ascii="Times New Roman" w:hAnsi="Times New Roman" w:cs="Times New Roman"/>
        </w:rPr>
        <w:t xml:space="preserve">Les diverses conséquences sanitaires et environnementales </w:t>
      </w:r>
      <w:r w:rsidR="004120A1">
        <w:rPr>
          <w:rFonts w:ascii="Times New Roman" w:hAnsi="Times New Roman" w:cs="Times New Roman"/>
        </w:rPr>
        <w:t>demeurent</w:t>
      </w:r>
      <w:r w:rsidR="00E73078">
        <w:rPr>
          <w:rFonts w:ascii="Times New Roman" w:hAnsi="Times New Roman" w:cs="Times New Roman"/>
        </w:rPr>
        <w:t>, prè</w:t>
      </w:r>
      <w:r w:rsidR="004120A1">
        <w:rPr>
          <w:rFonts w:ascii="Times New Roman" w:hAnsi="Times New Roman" w:cs="Times New Roman"/>
        </w:rPr>
        <w:t>s de quatre</w:t>
      </w:r>
      <w:r w:rsidR="00E73078">
        <w:rPr>
          <w:rFonts w:ascii="Times New Roman" w:hAnsi="Times New Roman" w:cs="Times New Roman"/>
        </w:rPr>
        <w:t xml:space="preserve"> ans après les </w:t>
      </w:r>
      <w:proofErr w:type="spellStart"/>
      <w:r w:rsidR="00E73078">
        <w:rPr>
          <w:rFonts w:ascii="Times New Roman" w:hAnsi="Times New Roman" w:cs="Times New Roman"/>
        </w:rPr>
        <w:t>événements</w:t>
      </w:r>
      <w:proofErr w:type="spellEnd"/>
      <w:r w:rsidR="00E73078">
        <w:rPr>
          <w:rFonts w:ascii="Times New Roman" w:hAnsi="Times New Roman" w:cs="Times New Roman"/>
        </w:rPr>
        <w:t xml:space="preserve">, </w:t>
      </w:r>
      <w:r w:rsidR="004120A1">
        <w:rPr>
          <w:rFonts w:ascii="Times New Roman" w:hAnsi="Times New Roman" w:cs="Times New Roman"/>
        </w:rPr>
        <w:t xml:space="preserve">une préoccupation pour les autorités japonaises </w:t>
      </w:r>
      <w:r w:rsidR="00E73078">
        <w:rPr>
          <w:rFonts w:ascii="Times New Roman" w:hAnsi="Times New Roman" w:cs="Times New Roman"/>
        </w:rPr>
        <w:t xml:space="preserve">et </w:t>
      </w:r>
      <w:r w:rsidR="004120A1">
        <w:rPr>
          <w:rFonts w:ascii="Times New Roman" w:hAnsi="Times New Roman" w:cs="Times New Roman"/>
        </w:rPr>
        <w:t xml:space="preserve">le demeureront certainement </w:t>
      </w:r>
      <w:r w:rsidR="00E73078">
        <w:rPr>
          <w:rFonts w:ascii="Times New Roman" w:hAnsi="Times New Roman" w:cs="Times New Roman"/>
        </w:rPr>
        <w:t xml:space="preserve">pour encore plusieurs années. Face à cette réalité, </w:t>
      </w:r>
      <w:r>
        <w:rPr>
          <w:rFonts w:ascii="Times New Roman" w:hAnsi="Times New Roman" w:cs="Times New Roman"/>
        </w:rPr>
        <w:t xml:space="preserve">l’Allemagne </w:t>
      </w:r>
      <w:r w:rsidR="00580B62">
        <w:rPr>
          <w:rFonts w:ascii="Times New Roman" w:hAnsi="Times New Roman" w:cs="Times New Roman"/>
        </w:rPr>
        <w:t>a décidé</w:t>
      </w:r>
      <w:r w:rsidR="00E73078">
        <w:rPr>
          <w:rFonts w:ascii="Times New Roman" w:hAnsi="Times New Roman" w:cs="Times New Roman"/>
        </w:rPr>
        <w:t>, quelques mois après la catastrophe de Fukushima,</w:t>
      </w:r>
      <w:r>
        <w:rPr>
          <w:rFonts w:ascii="Times New Roman" w:hAnsi="Times New Roman" w:cs="Times New Roman"/>
        </w:rPr>
        <w:t xml:space="preserve"> de mettre un terme à toute production d’énergie nucléaire sur son territoire d’ici 2022. Qu’ont ces </w:t>
      </w:r>
      <w:proofErr w:type="spellStart"/>
      <w:r>
        <w:rPr>
          <w:rFonts w:ascii="Times New Roman" w:hAnsi="Times New Roman" w:cs="Times New Roman"/>
        </w:rPr>
        <w:t>événements</w:t>
      </w:r>
      <w:proofErr w:type="spellEnd"/>
      <w:r>
        <w:rPr>
          <w:rFonts w:ascii="Times New Roman" w:hAnsi="Times New Roman" w:cs="Times New Roman"/>
        </w:rPr>
        <w:t xml:space="preserve"> en commun avec le droit inte</w:t>
      </w:r>
      <w:r w:rsidR="00444023">
        <w:rPr>
          <w:rFonts w:ascii="Times New Roman" w:hAnsi="Times New Roman" w:cs="Times New Roman"/>
        </w:rPr>
        <w:t>rnational des investissements ? U</w:t>
      </w:r>
      <w:r>
        <w:rPr>
          <w:rFonts w:ascii="Times New Roman" w:hAnsi="Times New Roman" w:cs="Times New Roman"/>
        </w:rPr>
        <w:t xml:space="preserve">ne poursuite de 3,7 milliards </w:t>
      </w:r>
      <w:r w:rsidR="004120A1">
        <w:rPr>
          <w:rFonts w:ascii="Times New Roman" w:hAnsi="Times New Roman" w:cs="Times New Roman"/>
        </w:rPr>
        <w:t>d’e</w:t>
      </w:r>
      <w:r>
        <w:rPr>
          <w:rFonts w:ascii="Times New Roman" w:hAnsi="Times New Roman" w:cs="Times New Roman"/>
        </w:rPr>
        <w:t xml:space="preserve">uros </w:t>
      </w:r>
      <w:r w:rsidR="00444023">
        <w:rPr>
          <w:rFonts w:ascii="Times New Roman" w:hAnsi="Times New Roman" w:cs="Times New Roman"/>
        </w:rPr>
        <w:t>déposée par la</w:t>
      </w:r>
      <w:r>
        <w:rPr>
          <w:rFonts w:ascii="Times New Roman" w:hAnsi="Times New Roman" w:cs="Times New Roman"/>
        </w:rPr>
        <w:t xml:space="preserve"> compagnie suédoise </w:t>
      </w:r>
      <w:proofErr w:type="spellStart"/>
      <w:r w:rsidRPr="00580B62">
        <w:rPr>
          <w:rFonts w:ascii="Times New Roman" w:hAnsi="Times New Roman" w:cs="Times New Roman"/>
          <w:i/>
        </w:rPr>
        <w:t>Vattenfall</w:t>
      </w:r>
      <w:proofErr w:type="spellEnd"/>
      <w:r w:rsidR="00444023">
        <w:rPr>
          <w:rFonts w:ascii="Times New Roman" w:hAnsi="Times New Roman" w:cs="Times New Roman"/>
        </w:rPr>
        <w:t xml:space="preserve"> contre l’Allemagne sous les auspices du CIRDI. </w:t>
      </w:r>
    </w:p>
    <w:p w14:paraId="27FA121F" w14:textId="0C3DBDAF" w:rsidR="00A42F28" w:rsidRDefault="00444023" w:rsidP="00BA43F7">
      <w:pPr>
        <w:spacing w:before="120" w:after="120" w:line="360" w:lineRule="auto"/>
        <w:jc w:val="both"/>
        <w:rPr>
          <w:rFonts w:ascii="Times New Roman" w:hAnsi="Times New Roman" w:cs="Times New Roman"/>
        </w:rPr>
      </w:pPr>
      <w:r>
        <w:rPr>
          <w:rFonts w:ascii="Times New Roman" w:hAnsi="Times New Roman" w:cs="Times New Roman"/>
        </w:rPr>
        <w:t xml:space="preserve">Cette plainte, </w:t>
      </w:r>
      <w:r w:rsidR="004120A1">
        <w:rPr>
          <w:rFonts w:ascii="Times New Roman" w:hAnsi="Times New Roman" w:cs="Times New Roman"/>
        </w:rPr>
        <w:t xml:space="preserve">pour </w:t>
      </w:r>
      <w:r>
        <w:rPr>
          <w:rFonts w:ascii="Times New Roman" w:hAnsi="Times New Roman" w:cs="Times New Roman"/>
        </w:rPr>
        <w:t xml:space="preserve">choquante </w:t>
      </w:r>
      <w:r w:rsidR="004120A1">
        <w:rPr>
          <w:rFonts w:ascii="Times New Roman" w:hAnsi="Times New Roman" w:cs="Times New Roman"/>
        </w:rPr>
        <w:t xml:space="preserve">qu’elle puisse </w:t>
      </w:r>
      <w:proofErr w:type="spellStart"/>
      <w:r w:rsidR="004120A1">
        <w:rPr>
          <w:rFonts w:ascii="Times New Roman" w:hAnsi="Times New Roman" w:cs="Times New Roman"/>
        </w:rPr>
        <w:t>paraître</w:t>
      </w:r>
      <w:proofErr w:type="spellEnd"/>
      <w:r w:rsidR="004120A1">
        <w:rPr>
          <w:rFonts w:ascii="Times New Roman" w:hAnsi="Times New Roman" w:cs="Times New Roman"/>
        </w:rPr>
        <w:t xml:space="preserve"> </w:t>
      </w:r>
      <w:r>
        <w:rPr>
          <w:rFonts w:ascii="Times New Roman" w:hAnsi="Times New Roman" w:cs="Times New Roman"/>
        </w:rPr>
        <w:t>aux yeux du public européen, n’</w:t>
      </w:r>
      <w:r w:rsidR="001E5534">
        <w:rPr>
          <w:rFonts w:ascii="Times New Roman" w:hAnsi="Times New Roman" w:cs="Times New Roman"/>
        </w:rPr>
        <w:t xml:space="preserve">est </w:t>
      </w:r>
      <w:r w:rsidR="00D53D40">
        <w:rPr>
          <w:rFonts w:ascii="Times New Roman" w:hAnsi="Times New Roman" w:cs="Times New Roman"/>
        </w:rPr>
        <w:t xml:space="preserve">cependant </w:t>
      </w:r>
      <w:r>
        <w:rPr>
          <w:rFonts w:ascii="Times New Roman" w:hAnsi="Times New Roman" w:cs="Times New Roman"/>
        </w:rPr>
        <w:t xml:space="preserve">pas la première en matière d’investissement à faire les </w:t>
      </w:r>
      <w:r w:rsidR="004C459E">
        <w:rPr>
          <w:rFonts w:ascii="Times New Roman" w:hAnsi="Times New Roman" w:cs="Times New Roman"/>
        </w:rPr>
        <w:t>manchettes.</w:t>
      </w:r>
      <w:r w:rsidR="005D464F">
        <w:rPr>
          <w:rFonts w:ascii="Times New Roman" w:hAnsi="Times New Roman" w:cs="Times New Roman"/>
        </w:rPr>
        <w:t xml:space="preserve"> En effet,</w:t>
      </w:r>
      <w:r w:rsidR="004C459E">
        <w:rPr>
          <w:rFonts w:ascii="Times New Roman" w:hAnsi="Times New Roman" w:cs="Times New Roman"/>
        </w:rPr>
        <w:t xml:space="preserve"> </w:t>
      </w:r>
      <w:r w:rsidR="005D464F">
        <w:rPr>
          <w:rFonts w:ascii="Times New Roman" w:hAnsi="Times New Roman" w:cs="Times New Roman"/>
        </w:rPr>
        <w:t>n</w:t>
      </w:r>
      <w:r w:rsidR="00E73078">
        <w:rPr>
          <w:rFonts w:ascii="Times New Roman" w:hAnsi="Times New Roman" w:cs="Times New Roman"/>
        </w:rPr>
        <w:t xml:space="preserve">ul besoin de remonter </w:t>
      </w:r>
      <w:r w:rsidR="004C459E">
        <w:rPr>
          <w:rFonts w:ascii="Times New Roman" w:hAnsi="Times New Roman" w:cs="Times New Roman"/>
        </w:rPr>
        <w:t xml:space="preserve">bien </w:t>
      </w:r>
      <w:r w:rsidR="00E73078">
        <w:rPr>
          <w:rFonts w:ascii="Times New Roman" w:hAnsi="Times New Roman" w:cs="Times New Roman"/>
        </w:rPr>
        <w:t xml:space="preserve">loin </w:t>
      </w:r>
      <w:r w:rsidR="004C459E">
        <w:rPr>
          <w:rFonts w:ascii="Times New Roman" w:hAnsi="Times New Roman" w:cs="Times New Roman"/>
        </w:rPr>
        <w:t>pour trouver d’</w:t>
      </w:r>
      <w:r w:rsidR="005D464F">
        <w:rPr>
          <w:rFonts w:ascii="Times New Roman" w:hAnsi="Times New Roman" w:cs="Times New Roman"/>
        </w:rPr>
        <w:t>autres poursuites visant des mesures publiques comme des lois anti-tabac (</w:t>
      </w:r>
      <w:r w:rsidR="005D464F" w:rsidRPr="00735E10">
        <w:rPr>
          <w:rFonts w:ascii="Times New Roman" w:hAnsi="Times New Roman" w:cs="Times New Roman"/>
          <w:i/>
        </w:rPr>
        <w:t xml:space="preserve">PML c. </w:t>
      </w:r>
      <w:proofErr w:type="spellStart"/>
      <w:r w:rsidR="005D464F" w:rsidRPr="00735E10">
        <w:rPr>
          <w:rFonts w:ascii="Times New Roman" w:hAnsi="Times New Roman" w:cs="Times New Roman"/>
          <w:i/>
        </w:rPr>
        <w:t>Australia</w:t>
      </w:r>
      <w:proofErr w:type="spellEnd"/>
      <w:r w:rsidR="005D464F">
        <w:rPr>
          <w:rFonts w:ascii="Times New Roman" w:hAnsi="Times New Roman" w:cs="Times New Roman"/>
        </w:rPr>
        <w:t>) ou des lois environnementales (</w:t>
      </w:r>
      <w:proofErr w:type="spellStart"/>
      <w:r w:rsidR="005D464F" w:rsidRPr="00735E10">
        <w:rPr>
          <w:rFonts w:ascii="Times New Roman" w:hAnsi="Times New Roman" w:cs="Times New Roman"/>
          <w:i/>
        </w:rPr>
        <w:t>Methanex</w:t>
      </w:r>
      <w:proofErr w:type="spellEnd"/>
      <w:r w:rsidR="00735E10" w:rsidRPr="00735E10">
        <w:rPr>
          <w:rFonts w:ascii="Times New Roman" w:hAnsi="Times New Roman" w:cs="Times New Roman"/>
          <w:i/>
        </w:rPr>
        <w:t xml:space="preserve"> c. Mexico</w:t>
      </w:r>
      <w:r w:rsidR="005D464F">
        <w:rPr>
          <w:rFonts w:ascii="Times New Roman" w:hAnsi="Times New Roman" w:cs="Times New Roman"/>
        </w:rPr>
        <w:t xml:space="preserve">). La plainte de </w:t>
      </w:r>
      <w:proofErr w:type="spellStart"/>
      <w:r w:rsidR="005D464F" w:rsidRPr="008F03BE">
        <w:rPr>
          <w:rFonts w:ascii="Times New Roman" w:hAnsi="Times New Roman" w:cs="Times New Roman"/>
          <w:i/>
        </w:rPr>
        <w:t>Vattenfall</w:t>
      </w:r>
      <w:proofErr w:type="spellEnd"/>
      <w:r w:rsidR="004120A1">
        <w:rPr>
          <w:rFonts w:ascii="Times New Roman" w:hAnsi="Times New Roman" w:cs="Times New Roman"/>
        </w:rPr>
        <w:t xml:space="preserve"> est</w:t>
      </w:r>
      <w:r w:rsidR="005D464F">
        <w:rPr>
          <w:rFonts w:ascii="Times New Roman" w:hAnsi="Times New Roman" w:cs="Times New Roman"/>
        </w:rPr>
        <w:t xml:space="preserve"> toutefois particulière puisque c’</w:t>
      </w:r>
      <w:r w:rsidR="004120A1">
        <w:rPr>
          <w:rFonts w:ascii="Times New Roman" w:hAnsi="Times New Roman" w:cs="Times New Roman"/>
        </w:rPr>
        <w:t>est</w:t>
      </w:r>
      <w:r w:rsidR="005D464F">
        <w:rPr>
          <w:rFonts w:ascii="Times New Roman" w:hAnsi="Times New Roman" w:cs="Times New Roman"/>
        </w:rPr>
        <w:t xml:space="preserve"> l’une des premières déposées à l’encontre d’un membre de l’Union européenne pré-2004, soit</w:t>
      </w:r>
      <w:r w:rsidR="00735E10">
        <w:rPr>
          <w:rFonts w:ascii="Times New Roman" w:hAnsi="Times New Roman" w:cs="Times New Roman"/>
        </w:rPr>
        <w:t xml:space="preserve"> l’Europe des Quinze (Calamita </w:t>
      </w:r>
      <w:r w:rsidR="005D464F">
        <w:rPr>
          <w:rFonts w:ascii="Times New Roman" w:hAnsi="Times New Roman" w:cs="Times New Roman"/>
        </w:rPr>
        <w:lastRenderedPageBreak/>
        <w:t>2012 : 315). Avec l’élargissement de l’Union européenne à plusieurs pays d’Europe de l’Est</w:t>
      </w:r>
      <w:r w:rsidR="004120A1">
        <w:rPr>
          <w:rFonts w:ascii="Times New Roman" w:hAnsi="Times New Roman" w:cs="Times New Roman"/>
        </w:rPr>
        <w:t>,</w:t>
      </w:r>
      <w:r w:rsidR="005D464F">
        <w:rPr>
          <w:rFonts w:ascii="Times New Roman" w:hAnsi="Times New Roman" w:cs="Times New Roman"/>
        </w:rPr>
        <w:t xml:space="preserve"> qui ont au contraire été visées par un nombre bien plus important de plainte</w:t>
      </w:r>
      <w:r w:rsidR="001E5534">
        <w:rPr>
          <w:rFonts w:ascii="Times New Roman" w:hAnsi="Times New Roman" w:cs="Times New Roman"/>
        </w:rPr>
        <w:t>s</w:t>
      </w:r>
      <w:r w:rsidR="00735E10">
        <w:rPr>
          <w:rFonts w:ascii="Times New Roman" w:hAnsi="Times New Roman" w:cs="Times New Roman"/>
        </w:rPr>
        <w:t xml:space="preserve"> (Calamita</w:t>
      </w:r>
      <w:r w:rsidR="005D464F">
        <w:rPr>
          <w:rFonts w:ascii="Times New Roman" w:hAnsi="Times New Roman" w:cs="Times New Roman"/>
        </w:rPr>
        <w:t xml:space="preserve"> 2012 : 315)</w:t>
      </w:r>
      <w:r w:rsidR="004120A1">
        <w:rPr>
          <w:rFonts w:ascii="Times New Roman" w:hAnsi="Times New Roman" w:cs="Times New Roman"/>
        </w:rPr>
        <w:t>,</w:t>
      </w:r>
      <w:r w:rsidR="005D464F">
        <w:rPr>
          <w:rFonts w:ascii="Times New Roman" w:hAnsi="Times New Roman" w:cs="Times New Roman"/>
        </w:rPr>
        <w:t xml:space="preserve"> et l’apparit</w:t>
      </w:r>
      <w:r w:rsidR="00580B62">
        <w:rPr>
          <w:rFonts w:ascii="Times New Roman" w:hAnsi="Times New Roman" w:cs="Times New Roman"/>
        </w:rPr>
        <w:t xml:space="preserve">ion de plaintes comme celles déposées par </w:t>
      </w:r>
      <w:proofErr w:type="spellStart"/>
      <w:r w:rsidR="00580B62" w:rsidRPr="008F03BE">
        <w:rPr>
          <w:rFonts w:ascii="Times New Roman" w:hAnsi="Times New Roman" w:cs="Times New Roman"/>
          <w:i/>
        </w:rPr>
        <w:t>Vattenfall</w:t>
      </w:r>
      <w:proofErr w:type="spellEnd"/>
      <w:r w:rsidR="00580B62">
        <w:rPr>
          <w:rFonts w:ascii="Times New Roman" w:hAnsi="Times New Roman" w:cs="Times New Roman"/>
        </w:rPr>
        <w:t xml:space="preserve"> </w:t>
      </w:r>
      <w:r w:rsidR="00170172">
        <w:rPr>
          <w:rFonts w:ascii="Times New Roman" w:hAnsi="Times New Roman" w:cs="Times New Roman"/>
        </w:rPr>
        <w:t>contre</w:t>
      </w:r>
      <w:r w:rsidR="00580B62">
        <w:rPr>
          <w:rFonts w:ascii="Times New Roman" w:hAnsi="Times New Roman" w:cs="Times New Roman"/>
        </w:rPr>
        <w:t xml:space="preserve"> de</w:t>
      </w:r>
      <w:r w:rsidR="005D464F">
        <w:rPr>
          <w:rFonts w:ascii="Times New Roman" w:hAnsi="Times New Roman" w:cs="Times New Roman"/>
        </w:rPr>
        <w:t>s pays d’Europe occidentale</w:t>
      </w:r>
      <w:r w:rsidR="001E5534">
        <w:rPr>
          <w:rFonts w:ascii="Times New Roman" w:hAnsi="Times New Roman" w:cs="Times New Roman"/>
        </w:rPr>
        <w:t xml:space="preserve">, la Commission européenne </w:t>
      </w:r>
      <w:r w:rsidR="00C36AE0">
        <w:rPr>
          <w:rFonts w:ascii="Times New Roman" w:hAnsi="Times New Roman" w:cs="Times New Roman"/>
        </w:rPr>
        <w:t xml:space="preserve">risque forcément de revoir l’approche </w:t>
      </w:r>
      <w:r w:rsidR="005C006D">
        <w:rPr>
          <w:rFonts w:ascii="Times New Roman" w:hAnsi="Times New Roman" w:cs="Times New Roman"/>
        </w:rPr>
        <w:t>de ses pays membres</w:t>
      </w:r>
      <w:r w:rsidR="00C36AE0">
        <w:rPr>
          <w:rFonts w:ascii="Times New Roman" w:hAnsi="Times New Roman" w:cs="Times New Roman"/>
        </w:rPr>
        <w:t xml:space="preserve">. Poursuivra-t-elle </w:t>
      </w:r>
      <w:r w:rsidR="005C006D">
        <w:rPr>
          <w:rFonts w:ascii="Times New Roman" w:hAnsi="Times New Roman" w:cs="Times New Roman"/>
        </w:rPr>
        <w:t xml:space="preserve">alors </w:t>
      </w:r>
      <w:r w:rsidR="00C36AE0">
        <w:rPr>
          <w:rFonts w:ascii="Times New Roman" w:hAnsi="Times New Roman" w:cs="Times New Roman"/>
        </w:rPr>
        <w:t>le</w:t>
      </w:r>
      <w:r w:rsidR="001E5534">
        <w:rPr>
          <w:rFonts w:ascii="Times New Roman" w:hAnsi="Times New Roman" w:cs="Times New Roman"/>
        </w:rPr>
        <w:t xml:space="preserve"> </w:t>
      </w:r>
      <w:r w:rsidR="001E5534">
        <w:rPr>
          <w:rFonts w:ascii="Times New Roman" w:hAnsi="Times New Roman" w:cs="Times New Roman"/>
          <w:i/>
        </w:rPr>
        <w:t>gold standard</w:t>
      </w:r>
      <w:r w:rsidR="00C36AE0">
        <w:rPr>
          <w:rFonts w:ascii="Times New Roman" w:hAnsi="Times New Roman" w:cs="Times New Roman"/>
          <w:i/>
        </w:rPr>
        <w:t xml:space="preserve"> </w:t>
      </w:r>
      <w:r w:rsidR="00C36AE0">
        <w:rPr>
          <w:rFonts w:ascii="Times New Roman" w:hAnsi="Times New Roman" w:cs="Times New Roman"/>
        </w:rPr>
        <w:t xml:space="preserve">mis de l’avant par les partisans de l’approche européenne </w:t>
      </w:r>
      <w:r w:rsidR="005C006D">
        <w:rPr>
          <w:rFonts w:ascii="Times New Roman" w:hAnsi="Times New Roman" w:cs="Times New Roman"/>
        </w:rPr>
        <w:t>ou suivra-t-elle une approche plus équilibrée à l’image de celle qui s’est développée en Amérique du Nord depuis l’avènement de l’ALENA en 1994 ?</w:t>
      </w:r>
    </w:p>
    <w:p w14:paraId="17F11582" w14:textId="45485DC3" w:rsidR="00A42F28" w:rsidRDefault="00D53D40" w:rsidP="00BA43F7">
      <w:pPr>
        <w:spacing w:before="120" w:after="120" w:line="360" w:lineRule="auto"/>
        <w:jc w:val="both"/>
        <w:rPr>
          <w:rFonts w:ascii="Times New Roman" w:hAnsi="Times New Roman" w:cs="Times New Roman"/>
        </w:rPr>
      </w:pPr>
      <w:r>
        <w:rPr>
          <w:rFonts w:ascii="Times New Roman" w:hAnsi="Times New Roman" w:cs="Times New Roman"/>
        </w:rPr>
        <w:t xml:space="preserve">En cherchant à déterminer les sources d’inspiration et d’apprentissage de la Commission européenne dans le développement </w:t>
      </w:r>
      <w:r w:rsidR="00A42F28">
        <w:rPr>
          <w:rFonts w:ascii="Times New Roman" w:hAnsi="Times New Roman" w:cs="Times New Roman"/>
        </w:rPr>
        <w:t xml:space="preserve">de son modèle d’accord, </w:t>
      </w:r>
      <w:r w:rsidR="004120A1">
        <w:rPr>
          <w:rFonts w:ascii="Times New Roman" w:hAnsi="Times New Roman" w:cs="Times New Roman"/>
        </w:rPr>
        <w:t xml:space="preserve">la prochaine section </w:t>
      </w:r>
      <w:r w:rsidR="00071DCD">
        <w:rPr>
          <w:rFonts w:ascii="Times New Roman" w:hAnsi="Times New Roman" w:cs="Times New Roman"/>
        </w:rPr>
        <w:t xml:space="preserve">permettra entre autres d’apporter un peu de lumière </w:t>
      </w:r>
      <w:r w:rsidR="00077D42">
        <w:rPr>
          <w:rFonts w:ascii="Times New Roman" w:hAnsi="Times New Roman" w:cs="Times New Roman"/>
        </w:rPr>
        <w:t>sur</w:t>
      </w:r>
      <w:r w:rsidR="004120A1">
        <w:rPr>
          <w:rFonts w:ascii="Times New Roman" w:hAnsi="Times New Roman" w:cs="Times New Roman"/>
        </w:rPr>
        <w:t xml:space="preserve"> </w:t>
      </w:r>
      <w:r w:rsidR="005C006D">
        <w:rPr>
          <w:rFonts w:ascii="Times New Roman" w:hAnsi="Times New Roman" w:cs="Times New Roman"/>
        </w:rPr>
        <w:t>cette question</w:t>
      </w:r>
      <w:r w:rsidR="00580B62">
        <w:rPr>
          <w:rFonts w:ascii="Times New Roman" w:hAnsi="Times New Roman" w:cs="Times New Roman"/>
        </w:rPr>
        <w:t xml:space="preserve">. </w:t>
      </w:r>
      <w:r w:rsidR="004120A1">
        <w:rPr>
          <w:rFonts w:ascii="Times New Roman" w:hAnsi="Times New Roman" w:cs="Times New Roman"/>
        </w:rPr>
        <w:t xml:space="preserve">Pour ce faire, elle se divisera en </w:t>
      </w:r>
      <w:r w:rsidR="00766074">
        <w:rPr>
          <w:rFonts w:ascii="Times New Roman" w:hAnsi="Times New Roman" w:cs="Times New Roman"/>
        </w:rPr>
        <w:t>quatre</w:t>
      </w:r>
      <w:r w:rsidR="004120A1">
        <w:rPr>
          <w:rFonts w:ascii="Times New Roman" w:hAnsi="Times New Roman" w:cs="Times New Roman"/>
        </w:rPr>
        <w:t xml:space="preserve"> parties</w:t>
      </w:r>
      <w:r w:rsidR="00000245">
        <w:rPr>
          <w:rFonts w:ascii="Times New Roman" w:hAnsi="Times New Roman" w:cs="Times New Roman"/>
        </w:rPr>
        <w:t xml:space="preserve"> qui tenteront chacune d’établir l’origine et les implications des éléments nouveaux au sein du modèle européen</w:t>
      </w:r>
      <w:r w:rsidR="004120A1">
        <w:rPr>
          <w:rFonts w:ascii="Times New Roman" w:hAnsi="Times New Roman" w:cs="Times New Roman"/>
        </w:rPr>
        <w:t>. La première s’inté</w:t>
      </w:r>
      <w:r w:rsidR="00071DCD">
        <w:rPr>
          <w:rFonts w:ascii="Times New Roman" w:hAnsi="Times New Roman" w:cs="Times New Roman"/>
        </w:rPr>
        <w:t>ressera</w:t>
      </w:r>
      <w:r w:rsidR="00000245">
        <w:rPr>
          <w:rFonts w:ascii="Times New Roman" w:hAnsi="Times New Roman" w:cs="Times New Roman"/>
        </w:rPr>
        <w:t xml:space="preserve"> aux articles sur le champ d’application et les définitions</w:t>
      </w:r>
      <w:r w:rsidR="007829F8">
        <w:rPr>
          <w:rFonts w:ascii="Times New Roman" w:hAnsi="Times New Roman" w:cs="Times New Roman"/>
        </w:rPr>
        <w:t xml:space="preserve">. </w:t>
      </w:r>
      <w:r w:rsidR="00766074">
        <w:rPr>
          <w:rFonts w:ascii="Times New Roman" w:hAnsi="Times New Roman" w:cs="Times New Roman"/>
        </w:rPr>
        <w:t>L</w:t>
      </w:r>
      <w:r w:rsidR="007829F8">
        <w:rPr>
          <w:rFonts w:ascii="Times New Roman" w:hAnsi="Times New Roman" w:cs="Times New Roman"/>
        </w:rPr>
        <w:t>a deuxième s’attardera</w:t>
      </w:r>
      <w:r w:rsidR="00766074">
        <w:rPr>
          <w:rFonts w:ascii="Times New Roman" w:hAnsi="Times New Roman" w:cs="Times New Roman"/>
        </w:rPr>
        <w:t xml:space="preserve"> </w:t>
      </w:r>
      <w:r w:rsidR="00000245">
        <w:rPr>
          <w:rFonts w:ascii="Times New Roman" w:hAnsi="Times New Roman" w:cs="Times New Roman"/>
        </w:rPr>
        <w:t>aux</w:t>
      </w:r>
      <w:r w:rsidR="007829F8">
        <w:rPr>
          <w:rFonts w:ascii="Times New Roman" w:hAnsi="Times New Roman" w:cs="Times New Roman"/>
        </w:rPr>
        <w:t xml:space="preserve"> règles</w:t>
      </w:r>
      <w:r w:rsidR="00000245">
        <w:rPr>
          <w:rFonts w:ascii="Times New Roman" w:hAnsi="Times New Roman" w:cs="Times New Roman"/>
        </w:rPr>
        <w:t xml:space="preserve"> substantives</w:t>
      </w:r>
      <w:r w:rsidR="007829F8">
        <w:rPr>
          <w:rFonts w:ascii="Times New Roman" w:hAnsi="Times New Roman" w:cs="Times New Roman"/>
        </w:rPr>
        <w:t xml:space="preserve"> en lien avec</w:t>
      </w:r>
      <w:r w:rsidR="00000245">
        <w:rPr>
          <w:rFonts w:ascii="Times New Roman" w:hAnsi="Times New Roman" w:cs="Times New Roman"/>
        </w:rPr>
        <w:t xml:space="preserve"> la protection des investissements. </w:t>
      </w:r>
      <w:r w:rsidR="00766074">
        <w:rPr>
          <w:rFonts w:ascii="Times New Roman" w:hAnsi="Times New Roman" w:cs="Times New Roman"/>
        </w:rPr>
        <w:t>Puis, la troisième se concentrera sur les exceptions</w:t>
      </w:r>
      <w:r w:rsidR="00077D42">
        <w:rPr>
          <w:rFonts w:ascii="Times New Roman" w:hAnsi="Times New Roman" w:cs="Times New Roman"/>
        </w:rPr>
        <w:t>.</w:t>
      </w:r>
      <w:r w:rsidR="00766074">
        <w:rPr>
          <w:rFonts w:ascii="Times New Roman" w:hAnsi="Times New Roman" w:cs="Times New Roman"/>
        </w:rPr>
        <w:t xml:space="preserve">  </w:t>
      </w:r>
      <w:r w:rsidR="00000245">
        <w:rPr>
          <w:rFonts w:ascii="Times New Roman" w:hAnsi="Times New Roman" w:cs="Times New Roman"/>
        </w:rPr>
        <w:t xml:space="preserve">Finalement, la </w:t>
      </w:r>
      <w:r w:rsidR="00766074">
        <w:rPr>
          <w:rFonts w:ascii="Times New Roman" w:hAnsi="Times New Roman" w:cs="Times New Roman"/>
        </w:rPr>
        <w:t>quatrième</w:t>
      </w:r>
      <w:r w:rsidR="00071DCD">
        <w:rPr>
          <w:rFonts w:ascii="Times New Roman" w:hAnsi="Times New Roman" w:cs="Times New Roman"/>
        </w:rPr>
        <w:t xml:space="preserve"> conclura en élaborant sur </w:t>
      </w:r>
      <w:r w:rsidR="00000245">
        <w:rPr>
          <w:rFonts w:ascii="Times New Roman" w:hAnsi="Times New Roman" w:cs="Times New Roman"/>
        </w:rPr>
        <w:t xml:space="preserve"> </w:t>
      </w:r>
      <w:r w:rsidR="00766074">
        <w:rPr>
          <w:rFonts w:ascii="Times New Roman" w:hAnsi="Times New Roman" w:cs="Times New Roman"/>
        </w:rPr>
        <w:t xml:space="preserve">les </w:t>
      </w:r>
      <w:r w:rsidR="00071DCD">
        <w:rPr>
          <w:rFonts w:ascii="Times New Roman" w:hAnsi="Times New Roman" w:cs="Times New Roman"/>
        </w:rPr>
        <w:t xml:space="preserve">normes en lien avec </w:t>
      </w:r>
      <w:r w:rsidR="007829F8">
        <w:rPr>
          <w:rFonts w:ascii="Times New Roman" w:hAnsi="Times New Roman" w:cs="Times New Roman"/>
        </w:rPr>
        <w:t>l’ar</w:t>
      </w:r>
      <w:r w:rsidR="00000245">
        <w:rPr>
          <w:rFonts w:ascii="Times New Roman" w:hAnsi="Times New Roman" w:cs="Times New Roman"/>
        </w:rPr>
        <w:t>bitrage investisseur – État</w:t>
      </w:r>
      <w:r w:rsidR="007829F8">
        <w:rPr>
          <w:rFonts w:ascii="Times New Roman" w:hAnsi="Times New Roman" w:cs="Times New Roman"/>
        </w:rPr>
        <w:t xml:space="preserve">. </w:t>
      </w:r>
      <w:r w:rsidR="004120A1">
        <w:rPr>
          <w:rFonts w:ascii="Times New Roman" w:hAnsi="Times New Roman" w:cs="Times New Roman"/>
        </w:rPr>
        <w:t xml:space="preserve"> </w:t>
      </w:r>
    </w:p>
    <w:p w14:paraId="4B7E307F" w14:textId="00B11AB4" w:rsidR="005D464F" w:rsidRPr="006A5780" w:rsidRDefault="00C0074A" w:rsidP="00BA43F7">
      <w:pPr>
        <w:pStyle w:val="Titre2"/>
        <w:spacing w:before="120" w:after="120"/>
        <w:rPr>
          <w:rFonts w:ascii="Times New Roman" w:hAnsi="Times New Roman" w:cs="Times New Roman"/>
          <w:color w:val="auto"/>
          <w:u w:val="single"/>
        </w:rPr>
      </w:pPr>
      <w:bookmarkStart w:id="13" w:name="_Toc313471465"/>
      <w:r w:rsidRPr="006A5780">
        <w:rPr>
          <w:rFonts w:ascii="Times New Roman" w:hAnsi="Times New Roman" w:cs="Times New Roman"/>
          <w:color w:val="auto"/>
          <w:u w:val="single"/>
        </w:rPr>
        <w:t xml:space="preserve">4.1 </w:t>
      </w:r>
      <w:r w:rsidR="00C70B6E" w:rsidRPr="006A5780">
        <w:rPr>
          <w:rFonts w:ascii="Times New Roman" w:hAnsi="Times New Roman" w:cs="Times New Roman"/>
          <w:color w:val="auto"/>
          <w:u w:val="single"/>
        </w:rPr>
        <w:t xml:space="preserve">Un champ d’application et des définitions </w:t>
      </w:r>
      <w:r w:rsidR="00EA2865" w:rsidRPr="006A5780">
        <w:rPr>
          <w:rFonts w:ascii="Times New Roman" w:hAnsi="Times New Roman" w:cs="Times New Roman"/>
          <w:color w:val="auto"/>
          <w:u w:val="single"/>
        </w:rPr>
        <w:t>restreints</w:t>
      </w:r>
      <w:bookmarkEnd w:id="13"/>
    </w:p>
    <w:p w14:paraId="00CEBDB8" w14:textId="37BAD70D" w:rsidR="006C6892" w:rsidRDefault="00C0074A" w:rsidP="00BA43F7">
      <w:pPr>
        <w:spacing w:before="120" w:after="120" w:line="360" w:lineRule="auto"/>
        <w:jc w:val="both"/>
        <w:rPr>
          <w:rFonts w:ascii="Times New Roman" w:hAnsi="Times New Roman" w:cs="Times New Roman"/>
        </w:rPr>
      </w:pPr>
      <w:r>
        <w:rPr>
          <w:rFonts w:ascii="Times New Roman" w:hAnsi="Times New Roman" w:cs="Times New Roman"/>
        </w:rPr>
        <w:t xml:space="preserve">Lors de la négociation de </w:t>
      </w:r>
      <w:r w:rsidR="00170172">
        <w:rPr>
          <w:rFonts w:ascii="Times New Roman" w:hAnsi="Times New Roman" w:cs="Times New Roman"/>
        </w:rPr>
        <w:t>tout</w:t>
      </w:r>
      <w:r>
        <w:rPr>
          <w:rFonts w:ascii="Times New Roman" w:hAnsi="Times New Roman" w:cs="Times New Roman"/>
        </w:rPr>
        <w:t xml:space="preserve"> traité international, les premiers éléments couverts sont </w:t>
      </w:r>
      <w:r w:rsidR="00071DCD">
        <w:rPr>
          <w:rFonts w:ascii="Times New Roman" w:hAnsi="Times New Roman" w:cs="Times New Roman"/>
        </w:rPr>
        <w:t xml:space="preserve">bien évidemment </w:t>
      </w:r>
      <w:r>
        <w:rPr>
          <w:rFonts w:ascii="Times New Roman" w:hAnsi="Times New Roman" w:cs="Times New Roman"/>
        </w:rPr>
        <w:t xml:space="preserve">le champ d’application du traité et la définition des termes employés.  </w:t>
      </w:r>
      <w:r w:rsidR="00077D42">
        <w:rPr>
          <w:rFonts w:ascii="Times New Roman" w:hAnsi="Times New Roman" w:cs="Times New Roman"/>
        </w:rPr>
        <w:t>L</w:t>
      </w:r>
      <w:r w:rsidR="00371003">
        <w:rPr>
          <w:rFonts w:ascii="Times New Roman" w:hAnsi="Times New Roman" w:cs="Times New Roman"/>
        </w:rPr>
        <w:t>’AECG et</w:t>
      </w:r>
      <w:r w:rsidR="00E34CD9" w:rsidRPr="00371003">
        <w:rPr>
          <w:rFonts w:ascii="Times New Roman" w:hAnsi="Times New Roman" w:cs="Times New Roman"/>
        </w:rPr>
        <w:t xml:space="preserve"> </w:t>
      </w:r>
      <w:r w:rsidR="00D96207" w:rsidRPr="00371003">
        <w:rPr>
          <w:rFonts w:ascii="Times New Roman" w:hAnsi="Times New Roman" w:cs="Times New Roman"/>
        </w:rPr>
        <w:t>l’ALEUES</w:t>
      </w:r>
      <w:r w:rsidR="00D96207">
        <w:rPr>
          <w:rFonts w:ascii="Times New Roman" w:hAnsi="Times New Roman" w:cs="Times New Roman"/>
        </w:rPr>
        <w:t xml:space="preserve"> </w:t>
      </w:r>
      <w:r w:rsidR="00170172">
        <w:rPr>
          <w:rFonts w:ascii="Times New Roman" w:hAnsi="Times New Roman" w:cs="Times New Roman"/>
        </w:rPr>
        <w:t>n’y font pas exception</w:t>
      </w:r>
      <w:r>
        <w:rPr>
          <w:rFonts w:ascii="Times New Roman" w:hAnsi="Times New Roman" w:cs="Times New Roman"/>
        </w:rPr>
        <w:t>. Si la forme est conforme à la pratique internationale en matière d’écriture de traités</w:t>
      </w:r>
      <w:r w:rsidR="00AB5BAA">
        <w:rPr>
          <w:rFonts w:ascii="Times New Roman" w:hAnsi="Times New Roman" w:cs="Times New Roman"/>
        </w:rPr>
        <w:t xml:space="preserve"> bilatéraux d’investissement</w:t>
      </w:r>
      <w:r w:rsidR="00071DCD">
        <w:rPr>
          <w:rFonts w:ascii="Times New Roman" w:hAnsi="Times New Roman" w:cs="Times New Roman"/>
        </w:rPr>
        <w:t>, le contenu des règles</w:t>
      </w:r>
      <w:r>
        <w:rPr>
          <w:rFonts w:ascii="Times New Roman" w:hAnsi="Times New Roman" w:cs="Times New Roman"/>
        </w:rPr>
        <w:t xml:space="preserve"> renferme quelques éléments nouveaux.</w:t>
      </w:r>
    </w:p>
    <w:p w14:paraId="15B599DC" w14:textId="7AF8DAEB" w:rsidR="00103AFE" w:rsidRPr="006A5780" w:rsidRDefault="00E8753F" w:rsidP="00E8753F">
      <w:pPr>
        <w:pStyle w:val="Titre3"/>
        <w:rPr>
          <w:rFonts w:ascii="Times New Roman" w:hAnsi="Times New Roman" w:cs="Times New Roman"/>
          <w:b w:val="0"/>
          <w:i/>
          <w:color w:val="auto"/>
          <w:sz w:val="26"/>
          <w:szCs w:val="26"/>
        </w:rPr>
      </w:pPr>
      <w:bookmarkStart w:id="14" w:name="_Toc313471466"/>
      <w:r w:rsidRPr="006A5780">
        <w:rPr>
          <w:rFonts w:ascii="Times New Roman" w:hAnsi="Times New Roman" w:cs="Times New Roman"/>
          <w:b w:val="0"/>
          <w:i/>
          <w:color w:val="auto"/>
          <w:sz w:val="26"/>
          <w:szCs w:val="26"/>
        </w:rPr>
        <w:t>4.1.1 Un champ d’application exclusif</w:t>
      </w:r>
      <w:bookmarkEnd w:id="14"/>
      <w:r w:rsidRPr="006A5780">
        <w:rPr>
          <w:rFonts w:ascii="Times New Roman" w:hAnsi="Times New Roman" w:cs="Times New Roman"/>
          <w:b w:val="0"/>
          <w:i/>
          <w:color w:val="auto"/>
          <w:sz w:val="26"/>
          <w:szCs w:val="26"/>
        </w:rPr>
        <w:t xml:space="preserve"> </w:t>
      </w:r>
    </w:p>
    <w:p w14:paraId="1998B46B" w14:textId="31CDB686" w:rsidR="00135EBD" w:rsidRDefault="005127F3" w:rsidP="00BA43F7">
      <w:pPr>
        <w:spacing w:before="120" w:after="120" w:line="360" w:lineRule="auto"/>
        <w:jc w:val="both"/>
        <w:rPr>
          <w:rFonts w:ascii="Times New Roman" w:hAnsi="Times New Roman" w:cs="Times New Roman"/>
        </w:rPr>
      </w:pPr>
      <w:r>
        <w:rPr>
          <w:rFonts w:ascii="Times New Roman" w:hAnsi="Times New Roman" w:cs="Times New Roman"/>
        </w:rPr>
        <w:t>Tout d’abord</w:t>
      </w:r>
      <w:r w:rsidR="00C0074A">
        <w:rPr>
          <w:rFonts w:ascii="Times New Roman" w:hAnsi="Times New Roman" w:cs="Times New Roman"/>
        </w:rPr>
        <w:t xml:space="preserve">, </w:t>
      </w:r>
      <w:r w:rsidR="00AF2DD6">
        <w:rPr>
          <w:rFonts w:ascii="Times New Roman" w:hAnsi="Times New Roman" w:cs="Times New Roman"/>
        </w:rPr>
        <w:t>en plus des conditions traditionnelles</w:t>
      </w:r>
      <w:r w:rsidR="00E34CD9">
        <w:rPr>
          <w:rFonts w:ascii="Times New Roman" w:hAnsi="Times New Roman" w:cs="Times New Roman"/>
        </w:rPr>
        <w:t>, soit que ce chapitre s’applique aux investisseurs et aux investissements couverts, le modèle d’accord européen utilise l’article sur le champ d’application pour immédiatement exclure certains secteurs de ses engagements</w:t>
      </w:r>
      <w:r w:rsidR="00D96207">
        <w:rPr>
          <w:rFonts w:ascii="Times New Roman" w:hAnsi="Times New Roman" w:cs="Times New Roman"/>
        </w:rPr>
        <w:t xml:space="preserve"> en matière d’accès au marché et de traitement non discriminatoire</w:t>
      </w:r>
      <w:r w:rsidR="00E34CD9">
        <w:rPr>
          <w:rFonts w:ascii="Times New Roman" w:hAnsi="Times New Roman" w:cs="Times New Roman"/>
        </w:rPr>
        <w:t xml:space="preserve">. </w:t>
      </w:r>
      <w:r w:rsidR="00D96207">
        <w:rPr>
          <w:rFonts w:ascii="Times New Roman" w:hAnsi="Times New Roman" w:cs="Times New Roman"/>
        </w:rPr>
        <w:t>Les services audio</w:t>
      </w:r>
      <w:r w:rsidR="00071DCD">
        <w:rPr>
          <w:rFonts w:ascii="Times New Roman" w:hAnsi="Times New Roman" w:cs="Times New Roman"/>
        </w:rPr>
        <w:t>-visuels sont ainsi exclus du champ d’application du chapitre sur l’investissement de l’AECG</w:t>
      </w:r>
      <w:r w:rsidR="005C006D">
        <w:rPr>
          <w:rFonts w:ascii="Times New Roman" w:hAnsi="Times New Roman" w:cs="Times New Roman"/>
        </w:rPr>
        <w:t xml:space="preserve"> (</w:t>
      </w:r>
      <w:r w:rsidR="00D0032F">
        <w:rPr>
          <w:rFonts w:ascii="Times New Roman" w:hAnsi="Times New Roman" w:cs="Times New Roman"/>
        </w:rPr>
        <w:t xml:space="preserve">chapitre 10, </w:t>
      </w:r>
      <w:r w:rsidR="005C006D">
        <w:rPr>
          <w:rFonts w:ascii="Times New Roman" w:hAnsi="Times New Roman" w:cs="Times New Roman"/>
        </w:rPr>
        <w:t>art.</w:t>
      </w:r>
      <w:r w:rsidR="00D0032F">
        <w:rPr>
          <w:rFonts w:ascii="Times New Roman" w:hAnsi="Times New Roman" w:cs="Times New Roman"/>
        </w:rPr>
        <w:t> </w:t>
      </w:r>
      <w:r w:rsidR="005C006D">
        <w:rPr>
          <w:rFonts w:ascii="Times New Roman" w:hAnsi="Times New Roman" w:cs="Times New Roman"/>
        </w:rPr>
        <w:t>X.1 (2))</w:t>
      </w:r>
      <w:r w:rsidR="00071DCD">
        <w:rPr>
          <w:rFonts w:ascii="Times New Roman" w:hAnsi="Times New Roman" w:cs="Times New Roman"/>
        </w:rPr>
        <w:t xml:space="preserve"> comme de</w:t>
      </w:r>
      <w:r w:rsidR="00D96207">
        <w:rPr>
          <w:rFonts w:ascii="Times New Roman" w:hAnsi="Times New Roman" w:cs="Times New Roman"/>
        </w:rPr>
        <w:t xml:space="preserve"> l’ALEUES</w:t>
      </w:r>
      <w:r w:rsidR="005C006D">
        <w:rPr>
          <w:rFonts w:ascii="Times New Roman" w:hAnsi="Times New Roman" w:cs="Times New Roman"/>
        </w:rPr>
        <w:t xml:space="preserve"> (art. 9.2 (3))</w:t>
      </w:r>
      <w:r w:rsidR="00D96207">
        <w:rPr>
          <w:rFonts w:ascii="Times New Roman" w:hAnsi="Times New Roman" w:cs="Times New Roman"/>
        </w:rPr>
        <w:t xml:space="preserve"> et les services aériens le sont</w:t>
      </w:r>
      <w:r w:rsidR="00BD3C9E">
        <w:rPr>
          <w:rFonts w:ascii="Times New Roman" w:hAnsi="Times New Roman" w:cs="Times New Roman"/>
        </w:rPr>
        <w:t xml:space="preserve"> uniquement pour</w:t>
      </w:r>
      <w:r w:rsidR="00D96207">
        <w:rPr>
          <w:rFonts w:ascii="Times New Roman" w:hAnsi="Times New Roman" w:cs="Times New Roman"/>
        </w:rPr>
        <w:t xml:space="preserve"> l’AECG</w:t>
      </w:r>
      <w:r w:rsidR="005C006D">
        <w:rPr>
          <w:rFonts w:ascii="Times New Roman" w:hAnsi="Times New Roman" w:cs="Times New Roman"/>
        </w:rPr>
        <w:t xml:space="preserve"> (</w:t>
      </w:r>
      <w:r w:rsidR="00D0032F">
        <w:rPr>
          <w:rFonts w:ascii="Times New Roman" w:hAnsi="Times New Roman" w:cs="Times New Roman"/>
        </w:rPr>
        <w:t xml:space="preserve">chapitre 10, </w:t>
      </w:r>
      <w:r w:rsidR="005C006D">
        <w:rPr>
          <w:rFonts w:ascii="Times New Roman" w:hAnsi="Times New Roman" w:cs="Times New Roman"/>
        </w:rPr>
        <w:t>art. X.1 (3))</w:t>
      </w:r>
      <w:r w:rsidR="00D96207">
        <w:rPr>
          <w:rFonts w:ascii="Times New Roman" w:hAnsi="Times New Roman" w:cs="Times New Roman"/>
        </w:rPr>
        <w:t xml:space="preserve">. </w:t>
      </w:r>
      <w:proofErr w:type="spellStart"/>
      <w:r w:rsidR="00472F03">
        <w:rPr>
          <w:rFonts w:ascii="Times New Roman" w:hAnsi="Times New Roman" w:cs="Times New Roman"/>
        </w:rPr>
        <w:t>Bungenberg</w:t>
      </w:r>
      <w:proofErr w:type="spellEnd"/>
      <w:r w:rsidR="00472F03">
        <w:rPr>
          <w:rFonts w:ascii="Times New Roman" w:hAnsi="Times New Roman" w:cs="Times New Roman"/>
        </w:rPr>
        <w:t xml:space="preserve"> souligne qu’une telle approche est atypique </w:t>
      </w:r>
      <w:r w:rsidR="00170172">
        <w:rPr>
          <w:rFonts w:ascii="Times New Roman" w:hAnsi="Times New Roman" w:cs="Times New Roman"/>
        </w:rPr>
        <w:t>dans le cadre d’</w:t>
      </w:r>
      <w:r w:rsidR="00472F03">
        <w:rPr>
          <w:rFonts w:ascii="Times New Roman" w:hAnsi="Times New Roman" w:cs="Times New Roman"/>
        </w:rPr>
        <w:t xml:space="preserve">accords sur l’investissement (2014 : 405) et la comparaison effectuée avec l’ALECC et </w:t>
      </w:r>
      <w:r w:rsidR="00472F03">
        <w:rPr>
          <w:rFonts w:ascii="Times New Roman" w:hAnsi="Times New Roman" w:cs="Times New Roman"/>
        </w:rPr>
        <w:lastRenderedPageBreak/>
        <w:t xml:space="preserve">les modèles d’accord des pays membres de l’Union européenne le </w:t>
      </w:r>
      <w:r w:rsidR="00BD3C9E">
        <w:rPr>
          <w:rFonts w:ascii="Times New Roman" w:hAnsi="Times New Roman" w:cs="Times New Roman"/>
        </w:rPr>
        <w:t>confirme</w:t>
      </w:r>
      <w:r w:rsidR="00472F03">
        <w:rPr>
          <w:rFonts w:ascii="Times New Roman" w:hAnsi="Times New Roman" w:cs="Times New Roman"/>
        </w:rPr>
        <w:t xml:space="preserve">. Alors que les articles sur le champ d’application ne </w:t>
      </w:r>
      <w:r w:rsidR="00170172">
        <w:rPr>
          <w:rFonts w:ascii="Times New Roman" w:hAnsi="Times New Roman" w:cs="Times New Roman"/>
        </w:rPr>
        <w:t>comportent</w:t>
      </w:r>
      <w:r w:rsidR="00472F03">
        <w:rPr>
          <w:rFonts w:ascii="Times New Roman" w:hAnsi="Times New Roman" w:cs="Times New Roman"/>
        </w:rPr>
        <w:t xml:space="preserve"> généralement qu’une phrase </w:t>
      </w:r>
      <w:r w:rsidR="00135EBD">
        <w:rPr>
          <w:rFonts w:ascii="Times New Roman" w:hAnsi="Times New Roman" w:cs="Times New Roman"/>
        </w:rPr>
        <w:t>ou deux, les articles des deux accords européens sont beaucoup plus longs. Bien que l’inclusion de réserves se soit développée dans les traités nord-américains (</w:t>
      </w:r>
      <w:proofErr w:type="spellStart"/>
      <w:r w:rsidR="00135EBD">
        <w:rPr>
          <w:rFonts w:ascii="Times New Roman" w:hAnsi="Times New Roman" w:cs="Times New Roman"/>
        </w:rPr>
        <w:t>Alchs</w:t>
      </w:r>
      <w:r w:rsidR="000D1D62">
        <w:rPr>
          <w:rFonts w:ascii="Times New Roman" w:hAnsi="Times New Roman" w:cs="Times New Roman"/>
        </w:rPr>
        <w:t>ner</w:t>
      </w:r>
      <w:proofErr w:type="spellEnd"/>
      <w:r w:rsidR="00135EBD">
        <w:rPr>
          <w:rFonts w:ascii="Times New Roman" w:hAnsi="Times New Roman" w:cs="Times New Roman"/>
        </w:rPr>
        <w:t xml:space="preserve"> 2013 : 47</w:t>
      </w:r>
      <w:r w:rsidR="00170172">
        <w:rPr>
          <w:rFonts w:ascii="Times New Roman" w:hAnsi="Times New Roman" w:cs="Times New Roman"/>
        </w:rPr>
        <w:t>0-471), la présente recherche ne peut expliquer hors de tout doute les raisons ayant conduit à</w:t>
      </w:r>
      <w:r w:rsidR="00135EBD">
        <w:rPr>
          <w:rFonts w:ascii="Times New Roman" w:hAnsi="Times New Roman" w:cs="Times New Roman"/>
        </w:rPr>
        <w:t xml:space="preserve"> ce choix d’exclure certains secteurs du champ d’application </w:t>
      </w:r>
      <w:r w:rsidR="004C387C">
        <w:rPr>
          <w:rFonts w:ascii="Times New Roman" w:hAnsi="Times New Roman" w:cs="Times New Roman"/>
        </w:rPr>
        <w:t xml:space="preserve">à partir du texte même de l’accord </w:t>
      </w:r>
      <w:r w:rsidR="00135EBD">
        <w:rPr>
          <w:rFonts w:ascii="Times New Roman" w:hAnsi="Times New Roman" w:cs="Times New Roman"/>
        </w:rPr>
        <w:t xml:space="preserve">au lieu d’indiquer </w:t>
      </w:r>
      <w:r w:rsidR="004C387C">
        <w:rPr>
          <w:rFonts w:ascii="Times New Roman" w:hAnsi="Times New Roman" w:cs="Times New Roman"/>
        </w:rPr>
        <w:t>cette exclusion à partir d’</w:t>
      </w:r>
      <w:r w:rsidR="00631C1A">
        <w:rPr>
          <w:rFonts w:ascii="Times New Roman" w:hAnsi="Times New Roman" w:cs="Times New Roman"/>
        </w:rPr>
        <w:t>annexe</w:t>
      </w:r>
      <w:r w:rsidR="004C387C">
        <w:rPr>
          <w:rFonts w:ascii="Times New Roman" w:hAnsi="Times New Roman" w:cs="Times New Roman"/>
        </w:rPr>
        <w:t>s</w:t>
      </w:r>
      <w:r w:rsidR="00631C1A">
        <w:rPr>
          <w:rFonts w:ascii="Times New Roman" w:hAnsi="Times New Roman" w:cs="Times New Roman"/>
        </w:rPr>
        <w:t>, ce qui aurait juridiquement eu le même effet.</w:t>
      </w:r>
    </w:p>
    <w:p w14:paraId="1BA17946" w14:textId="783C5829" w:rsidR="00724B38" w:rsidRDefault="00135EBD" w:rsidP="00BA43F7">
      <w:pPr>
        <w:spacing w:before="120" w:after="120" w:line="360" w:lineRule="auto"/>
        <w:jc w:val="both"/>
        <w:rPr>
          <w:rFonts w:ascii="Times New Roman" w:hAnsi="Times New Roman" w:cs="Times New Roman"/>
        </w:rPr>
      </w:pPr>
      <w:r>
        <w:rPr>
          <w:rFonts w:ascii="Times New Roman" w:hAnsi="Times New Roman" w:cs="Times New Roman"/>
        </w:rPr>
        <w:t>Une hypothèse pourrait être que la Commission européenne désirait mettre en évidence l’exclusion de certains secteurs</w:t>
      </w:r>
      <w:r w:rsidR="00631C1A">
        <w:rPr>
          <w:rFonts w:ascii="Times New Roman" w:hAnsi="Times New Roman" w:cs="Times New Roman"/>
        </w:rPr>
        <w:t xml:space="preserve"> sensibles</w:t>
      </w:r>
      <w:r>
        <w:rPr>
          <w:rFonts w:ascii="Times New Roman" w:hAnsi="Times New Roman" w:cs="Times New Roman"/>
        </w:rPr>
        <w:t xml:space="preserve"> afin de répondre </w:t>
      </w:r>
      <w:r w:rsidR="00631C1A">
        <w:rPr>
          <w:rFonts w:ascii="Times New Roman" w:hAnsi="Times New Roman" w:cs="Times New Roman"/>
        </w:rPr>
        <w:t>à la</w:t>
      </w:r>
      <w:r>
        <w:rPr>
          <w:rFonts w:ascii="Times New Roman" w:hAnsi="Times New Roman" w:cs="Times New Roman"/>
        </w:rPr>
        <w:t xml:space="preserve"> demande du Parlement européen </w:t>
      </w:r>
      <w:r w:rsidR="00631C1A">
        <w:rPr>
          <w:rFonts w:ascii="Times New Roman" w:hAnsi="Times New Roman" w:cs="Times New Roman"/>
        </w:rPr>
        <w:t xml:space="preserve"> </w:t>
      </w:r>
      <w:r w:rsidR="00170172">
        <w:rPr>
          <w:rFonts w:ascii="Times New Roman" w:hAnsi="Times New Roman" w:cs="Times New Roman"/>
        </w:rPr>
        <w:t>dans</w:t>
      </w:r>
      <w:r w:rsidR="00631C1A">
        <w:rPr>
          <w:rFonts w:ascii="Times New Roman" w:hAnsi="Times New Roman" w:cs="Times New Roman"/>
        </w:rPr>
        <w:t xml:space="preserve"> son </w:t>
      </w:r>
      <w:r w:rsidR="00631C1A" w:rsidRPr="00631C1A">
        <w:rPr>
          <w:rFonts w:ascii="Times New Roman" w:hAnsi="Times New Roman" w:cs="Times New Roman"/>
          <w:i/>
        </w:rPr>
        <w:t>Rapport sur la future politique européenne en matière d’investissements internationaux</w:t>
      </w:r>
      <w:r w:rsidR="00631C1A">
        <w:rPr>
          <w:rFonts w:ascii="Times New Roman" w:hAnsi="Times New Roman" w:cs="Times New Roman"/>
        </w:rPr>
        <w:t xml:space="preserve"> (2011 : para 21). </w:t>
      </w:r>
      <w:r w:rsidR="00314F24" w:rsidRPr="00B94111">
        <w:rPr>
          <w:rFonts w:ascii="Times New Roman" w:hAnsi="Times New Roman" w:cs="Times New Roman"/>
        </w:rPr>
        <w:t xml:space="preserve">Il est à noter que depuis l’entrée en vigueur du Traité de Lisbonne, le Parlement européen doit aussi approuver un traité </w:t>
      </w:r>
      <w:r w:rsidR="00170172">
        <w:rPr>
          <w:rFonts w:ascii="Times New Roman" w:hAnsi="Times New Roman" w:cs="Times New Roman"/>
        </w:rPr>
        <w:t>avant</w:t>
      </w:r>
      <w:r w:rsidR="00314F24" w:rsidRPr="00B94111">
        <w:rPr>
          <w:rFonts w:ascii="Times New Roman" w:hAnsi="Times New Roman" w:cs="Times New Roman"/>
        </w:rPr>
        <w:t xml:space="preserve"> qu’il pui</w:t>
      </w:r>
      <w:r w:rsidR="000D1D62">
        <w:rPr>
          <w:rFonts w:ascii="Times New Roman" w:hAnsi="Times New Roman" w:cs="Times New Roman"/>
        </w:rPr>
        <w:t>sse entrer en vigueur (Calamita</w:t>
      </w:r>
      <w:r w:rsidR="00314F24" w:rsidRPr="00B94111">
        <w:rPr>
          <w:rFonts w:ascii="Times New Roman" w:hAnsi="Times New Roman" w:cs="Times New Roman"/>
        </w:rPr>
        <w:t xml:space="preserve"> 2012 : 308). La Commission européenne ne peu</w:t>
      </w:r>
      <w:r w:rsidR="00314F24">
        <w:rPr>
          <w:rFonts w:ascii="Times New Roman" w:hAnsi="Times New Roman" w:cs="Times New Roman"/>
        </w:rPr>
        <w:t>t donc tout simplement ignorer l</w:t>
      </w:r>
      <w:r w:rsidR="00314F24" w:rsidRPr="00B94111">
        <w:rPr>
          <w:rFonts w:ascii="Times New Roman" w:hAnsi="Times New Roman" w:cs="Times New Roman"/>
        </w:rPr>
        <w:t>es opinions</w:t>
      </w:r>
      <w:r w:rsidR="00314F24">
        <w:rPr>
          <w:rFonts w:ascii="Times New Roman" w:hAnsi="Times New Roman" w:cs="Times New Roman"/>
        </w:rPr>
        <w:t xml:space="preserve"> du Parlement européen. L</w:t>
      </w:r>
      <w:r w:rsidR="00631C1A">
        <w:rPr>
          <w:rFonts w:ascii="Times New Roman" w:hAnsi="Times New Roman" w:cs="Times New Roman"/>
        </w:rPr>
        <w:t>e choix d’exclure les services audio-visuels et aériens n’est</w:t>
      </w:r>
      <w:r w:rsidR="004C387C">
        <w:rPr>
          <w:rFonts w:ascii="Times New Roman" w:hAnsi="Times New Roman" w:cs="Times New Roman"/>
        </w:rPr>
        <w:t>,</w:t>
      </w:r>
      <w:r w:rsidR="00631C1A">
        <w:rPr>
          <w:rFonts w:ascii="Times New Roman" w:hAnsi="Times New Roman" w:cs="Times New Roman"/>
        </w:rPr>
        <w:t xml:space="preserve"> </w:t>
      </w:r>
      <w:r w:rsidR="00314F24">
        <w:rPr>
          <w:rFonts w:ascii="Times New Roman" w:hAnsi="Times New Roman" w:cs="Times New Roman"/>
        </w:rPr>
        <w:t>à ce titre</w:t>
      </w:r>
      <w:r w:rsidR="004C387C">
        <w:rPr>
          <w:rFonts w:ascii="Times New Roman" w:hAnsi="Times New Roman" w:cs="Times New Roman"/>
        </w:rPr>
        <w:t>,</w:t>
      </w:r>
      <w:r w:rsidR="00170172">
        <w:rPr>
          <w:rFonts w:ascii="Times New Roman" w:hAnsi="Times New Roman" w:cs="Times New Roman"/>
        </w:rPr>
        <w:t xml:space="preserve"> pas anodin alors que la Commission</w:t>
      </w:r>
      <w:r w:rsidR="00724B38">
        <w:rPr>
          <w:rFonts w:ascii="Times New Roman" w:hAnsi="Times New Roman" w:cs="Times New Roman"/>
        </w:rPr>
        <w:t xml:space="preserve"> </w:t>
      </w:r>
      <w:r w:rsidR="00631C1A">
        <w:rPr>
          <w:rFonts w:ascii="Times New Roman" w:hAnsi="Times New Roman" w:cs="Times New Roman"/>
        </w:rPr>
        <w:t>négocie en même temps le Partenariat transatlantique avec les États-Unis</w:t>
      </w:r>
      <w:r w:rsidR="00724B38">
        <w:rPr>
          <w:rFonts w:ascii="Times New Roman" w:hAnsi="Times New Roman" w:cs="Times New Roman"/>
        </w:rPr>
        <w:t xml:space="preserve"> qui sont un joueur important au sein de ces deux secteurs</w:t>
      </w:r>
      <w:r w:rsidR="00631C1A">
        <w:rPr>
          <w:rFonts w:ascii="Times New Roman" w:hAnsi="Times New Roman" w:cs="Times New Roman"/>
        </w:rPr>
        <w:t xml:space="preserve">. </w:t>
      </w:r>
    </w:p>
    <w:p w14:paraId="1650FCE3" w14:textId="5407BD6A" w:rsidR="006C6892" w:rsidRDefault="00314F24" w:rsidP="00BA43F7">
      <w:pPr>
        <w:spacing w:before="120" w:after="120" w:line="360" w:lineRule="auto"/>
        <w:jc w:val="both"/>
        <w:rPr>
          <w:rFonts w:ascii="Times New Roman" w:hAnsi="Times New Roman" w:cs="Times New Roman"/>
        </w:rPr>
      </w:pPr>
      <w:r>
        <w:rPr>
          <w:rFonts w:ascii="Times New Roman" w:hAnsi="Times New Roman" w:cs="Times New Roman"/>
        </w:rPr>
        <w:t>Dans le ca</w:t>
      </w:r>
      <w:r w:rsidR="00077D42">
        <w:rPr>
          <w:rFonts w:ascii="Times New Roman" w:hAnsi="Times New Roman" w:cs="Times New Roman"/>
        </w:rPr>
        <w:t>s</w:t>
      </w:r>
      <w:r>
        <w:rPr>
          <w:rFonts w:ascii="Times New Roman" w:hAnsi="Times New Roman" w:cs="Times New Roman"/>
        </w:rPr>
        <w:t xml:space="preserve"> du secteur audio-visuel, cela peut </w:t>
      </w:r>
      <w:r w:rsidR="00724B38">
        <w:rPr>
          <w:rFonts w:ascii="Times New Roman" w:hAnsi="Times New Roman" w:cs="Times New Roman"/>
        </w:rPr>
        <w:t>notamment</w:t>
      </w:r>
      <w:r>
        <w:rPr>
          <w:rFonts w:ascii="Times New Roman" w:hAnsi="Times New Roman" w:cs="Times New Roman"/>
        </w:rPr>
        <w:t xml:space="preserve"> refléter</w:t>
      </w:r>
      <w:r w:rsidR="00BD3C9E">
        <w:rPr>
          <w:rFonts w:ascii="Times New Roman" w:hAnsi="Times New Roman" w:cs="Times New Roman"/>
        </w:rPr>
        <w:t xml:space="preserve"> une stratégie</w:t>
      </w:r>
      <w:r>
        <w:rPr>
          <w:rFonts w:ascii="Times New Roman" w:hAnsi="Times New Roman" w:cs="Times New Roman"/>
        </w:rPr>
        <w:t xml:space="preserve"> ayant pour but</w:t>
      </w:r>
      <w:r w:rsidR="00BD3C9E">
        <w:rPr>
          <w:rFonts w:ascii="Times New Roman" w:hAnsi="Times New Roman" w:cs="Times New Roman"/>
        </w:rPr>
        <w:t xml:space="preserve"> </w:t>
      </w:r>
      <w:r w:rsidR="00631C1A">
        <w:rPr>
          <w:rFonts w:ascii="Times New Roman" w:hAnsi="Times New Roman" w:cs="Times New Roman"/>
        </w:rPr>
        <w:t xml:space="preserve">d’établir un précédent </w:t>
      </w:r>
      <w:r w:rsidR="00170172">
        <w:rPr>
          <w:rFonts w:ascii="Times New Roman" w:hAnsi="Times New Roman" w:cs="Times New Roman"/>
        </w:rPr>
        <w:t>afin de se</w:t>
      </w:r>
      <w:r w:rsidR="00724B38">
        <w:rPr>
          <w:rFonts w:ascii="Times New Roman" w:hAnsi="Times New Roman" w:cs="Times New Roman"/>
        </w:rPr>
        <w:t xml:space="preserve"> prémunir</w:t>
      </w:r>
      <w:r w:rsidR="00631C1A">
        <w:rPr>
          <w:rFonts w:ascii="Times New Roman" w:hAnsi="Times New Roman" w:cs="Times New Roman"/>
        </w:rPr>
        <w:t xml:space="preserve"> contre </w:t>
      </w:r>
      <w:r w:rsidR="00724B38">
        <w:rPr>
          <w:rFonts w:ascii="Times New Roman" w:hAnsi="Times New Roman" w:cs="Times New Roman"/>
        </w:rPr>
        <w:t xml:space="preserve">des potentielles demandes de </w:t>
      </w:r>
      <w:r w:rsidR="00170172">
        <w:rPr>
          <w:rFonts w:ascii="Times New Roman" w:hAnsi="Times New Roman" w:cs="Times New Roman"/>
        </w:rPr>
        <w:t>libéralisation en ce domaine</w:t>
      </w:r>
      <w:r w:rsidR="00724B38">
        <w:rPr>
          <w:rFonts w:ascii="Times New Roman" w:hAnsi="Times New Roman" w:cs="Times New Roman"/>
        </w:rPr>
        <w:t xml:space="preserve">. Les </w:t>
      </w:r>
      <w:r w:rsidR="00631C1A">
        <w:rPr>
          <w:rFonts w:ascii="Times New Roman" w:hAnsi="Times New Roman" w:cs="Times New Roman"/>
        </w:rPr>
        <w:t>géants américains</w:t>
      </w:r>
      <w:r w:rsidR="006735E4">
        <w:rPr>
          <w:rFonts w:ascii="Times New Roman" w:hAnsi="Times New Roman" w:cs="Times New Roman"/>
        </w:rPr>
        <w:t xml:space="preserve"> comme la Motion </w:t>
      </w:r>
      <w:proofErr w:type="spellStart"/>
      <w:r w:rsidR="006735E4">
        <w:rPr>
          <w:rFonts w:ascii="Times New Roman" w:hAnsi="Times New Roman" w:cs="Times New Roman"/>
        </w:rPr>
        <w:t>Pictures</w:t>
      </w:r>
      <w:proofErr w:type="spellEnd"/>
      <w:r w:rsidR="006735E4">
        <w:rPr>
          <w:rFonts w:ascii="Times New Roman" w:hAnsi="Times New Roman" w:cs="Times New Roman"/>
        </w:rPr>
        <w:t xml:space="preserve"> Association of </w:t>
      </w:r>
      <w:proofErr w:type="spellStart"/>
      <w:r w:rsidR="006735E4">
        <w:rPr>
          <w:rFonts w:ascii="Times New Roman" w:hAnsi="Times New Roman" w:cs="Times New Roman"/>
        </w:rPr>
        <w:t>America</w:t>
      </w:r>
      <w:proofErr w:type="spellEnd"/>
      <w:r w:rsidR="006735E4">
        <w:rPr>
          <w:rFonts w:ascii="Times New Roman" w:hAnsi="Times New Roman" w:cs="Times New Roman"/>
        </w:rPr>
        <w:t xml:space="preserve"> (MPAA)</w:t>
      </w:r>
      <w:r w:rsidR="00724B38">
        <w:rPr>
          <w:rFonts w:ascii="Times New Roman" w:hAnsi="Times New Roman" w:cs="Times New Roman"/>
        </w:rPr>
        <w:t xml:space="preserve"> enjoignent en effet leur gouvernement à </w:t>
      </w:r>
      <w:r w:rsidR="00170172">
        <w:rPr>
          <w:rFonts w:ascii="Times New Roman" w:hAnsi="Times New Roman" w:cs="Times New Roman"/>
        </w:rPr>
        <w:t>adopter cette position</w:t>
      </w:r>
      <w:r w:rsidR="00724B38">
        <w:rPr>
          <w:rFonts w:ascii="Times New Roman" w:hAnsi="Times New Roman" w:cs="Times New Roman"/>
        </w:rPr>
        <w:t xml:space="preserve"> </w:t>
      </w:r>
      <w:r w:rsidR="00631C1A">
        <w:rPr>
          <w:rFonts w:ascii="Times New Roman" w:hAnsi="Times New Roman" w:cs="Times New Roman"/>
        </w:rPr>
        <w:t xml:space="preserve">depuis l’échec de la négociation de l’Accord multilatéral sur l’investissement </w:t>
      </w:r>
      <w:r w:rsidR="00780008">
        <w:rPr>
          <w:rFonts w:ascii="Times New Roman" w:hAnsi="Times New Roman" w:cs="Times New Roman"/>
        </w:rPr>
        <w:t>(</w:t>
      </w:r>
      <w:proofErr w:type="spellStart"/>
      <w:r w:rsidR="00780008">
        <w:rPr>
          <w:rFonts w:ascii="Times New Roman" w:hAnsi="Times New Roman" w:cs="Times New Roman"/>
        </w:rPr>
        <w:t>Vlassis</w:t>
      </w:r>
      <w:proofErr w:type="spellEnd"/>
      <w:r w:rsidR="00BD3C9E">
        <w:rPr>
          <w:rFonts w:ascii="Times New Roman" w:hAnsi="Times New Roman" w:cs="Times New Roman"/>
        </w:rPr>
        <w:t xml:space="preserve"> 2015 : 264)</w:t>
      </w:r>
      <w:r w:rsidR="006735E4">
        <w:rPr>
          <w:rFonts w:ascii="Times New Roman" w:hAnsi="Times New Roman" w:cs="Times New Roman"/>
        </w:rPr>
        <w:t xml:space="preserve">. </w:t>
      </w:r>
      <w:r w:rsidR="00170172">
        <w:rPr>
          <w:rFonts w:ascii="Times New Roman" w:hAnsi="Times New Roman" w:cs="Times New Roman"/>
        </w:rPr>
        <w:t>Rappelons</w:t>
      </w:r>
      <w:r w:rsidR="006735E4">
        <w:rPr>
          <w:rFonts w:ascii="Times New Roman" w:hAnsi="Times New Roman" w:cs="Times New Roman"/>
        </w:rPr>
        <w:t xml:space="preserve"> que c’est notamment faute de pouvoir obtenir une exception culturelle, élément présent au sein de son modèle d’accord, que la France avait quitté les</w:t>
      </w:r>
      <w:r w:rsidR="00780008">
        <w:rPr>
          <w:rFonts w:ascii="Times New Roman" w:hAnsi="Times New Roman" w:cs="Times New Roman"/>
        </w:rPr>
        <w:t xml:space="preserve"> négociations de l’AMI (</w:t>
      </w:r>
      <w:proofErr w:type="spellStart"/>
      <w:r w:rsidR="00780008">
        <w:rPr>
          <w:rFonts w:ascii="Times New Roman" w:hAnsi="Times New Roman" w:cs="Times New Roman"/>
        </w:rPr>
        <w:t>Vlassis</w:t>
      </w:r>
      <w:proofErr w:type="spellEnd"/>
      <w:r w:rsidR="006735E4">
        <w:rPr>
          <w:rFonts w:ascii="Times New Roman" w:hAnsi="Times New Roman" w:cs="Times New Roman"/>
        </w:rPr>
        <w:t xml:space="preserve"> 2015 : 264).</w:t>
      </w:r>
      <w:r w:rsidR="003E6D25">
        <w:rPr>
          <w:rFonts w:ascii="Times New Roman" w:hAnsi="Times New Roman" w:cs="Times New Roman"/>
        </w:rPr>
        <w:t xml:space="preserve"> La France est d’ailleurs le seul pays européen </w:t>
      </w:r>
      <w:r w:rsidR="00170172">
        <w:rPr>
          <w:rFonts w:ascii="Times New Roman" w:hAnsi="Times New Roman" w:cs="Times New Roman"/>
        </w:rPr>
        <w:t>à avoir inclus</w:t>
      </w:r>
      <w:r w:rsidR="003E6D25">
        <w:rPr>
          <w:rFonts w:ascii="Times New Roman" w:hAnsi="Times New Roman" w:cs="Times New Roman"/>
        </w:rPr>
        <w:t xml:space="preserve"> un</w:t>
      </w:r>
      <w:r w:rsidR="00BD3C9E">
        <w:rPr>
          <w:rFonts w:ascii="Times New Roman" w:hAnsi="Times New Roman" w:cs="Times New Roman"/>
        </w:rPr>
        <w:t>e</w:t>
      </w:r>
      <w:r w:rsidR="003E6D25">
        <w:rPr>
          <w:rFonts w:ascii="Times New Roman" w:hAnsi="Times New Roman" w:cs="Times New Roman"/>
        </w:rPr>
        <w:t xml:space="preserve"> exception culturelle au sein de son modèle d’accord.</w:t>
      </w:r>
    </w:p>
    <w:p w14:paraId="52F17F83" w14:textId="4E5821EB" w:rsidR="00103AFE" w:rsidRPr="006A5780" w:rsidRDefault="00E8753F" w:rsidP="004F762A">
      <w:pPr>
        <w:pStyle w:val="Titre3"/>
        <w:rPr>
          <w:rFonts w:ascii="Times New Roman" w:hAnsi="Times New Roman" w:cs="Times New Roman"/>
          <w:b w:val="0"/>
          <w:i/>
          <w:color w:val="auto"/>
          <w:sz w:val="26"/>
          <w:szCs w:val="26"/>
        </w:rPr>
      </w:pPr>
      <w:bookmarkStart w:id="15" w:name="_Toc313471467"/>
      <w:r w:rsidRPr="006A5780">
        <w:rPr>
          <w:rFonts w:ascii="Times New Roman" w:hAnsi="Times New Roman" w:cs="Times New Roman"/>
          <w:b w:val="0"/>
          <w:i/>
          <w:color w:val="auto"/>
          <w:sz w:val="26"/>
          <w:szCs w:val="26"/>
        </w:rPr>
        <w:t xml:space="preserve">4.1.2 Un investisseur et </w:t>
      </w:r>
      <w:r w:rsidR="00103AFE" w:rsidRPr="006A5780">
        <w:rPr>
          <w:rFonts w:ascii="Times New Roman" w:hAnsi="Times New Roman" w:cs="Times New Roman"/>
          <w:b w:val="0"/>
          <w:i/>
          <w:color w:val="auto"/>
          <w:sz w:val="26"/>
          <w:szCs w:val="26"/>
        </w:rPr>
        <w:t>un inv</w:t>
      </w:r>
      <w:r w:rsidRPr="006A5780">
        <w:rPr>
          <w:rFonts w:ascii="Times New Roman" w:hAnsi="Times New Roman" w:cs="Times New Roman"/>
          <w:b w:val="0"/>
          <w:i/>
          <w:color w:val="auto"/>
          <w:sz w:val="26"/>
          <w:szCs w:val="26"/>
        </w:rPr>
        <w:t>estissement : quelles définitions juridiques ?</w:t>
      </w:r>
      <w:bookmarkEnd w:id="15"/>
      <w:r w:rsidRPr="006A5780">
        <w:rPr>
          <w:rFonts w:ascii="Times New Roman" w:hAnsi="Times New Roman" w:cs="Times New Roman"/>
          <w:b w:val="0"/>
          <w:i/>
          <w:color w:val="auto"/>
          <w:sz w:val="26"/>
          <w:szCs w:val="26"/>
        </w:rPr>
        <w:t xml:space="preserve"> </w:t>
      </w:r>
    </w:p>
    <w:p w14:paraId="4728610F" w14:textId="73DDE49E" w:rsidR="001A4D03" w:rsidRDefault="00103AFE" w:rsidP="00BA43F7">
      <w:pPr>
        <w:spacing w:before="120" w:after="120" w:line="360" w:lineRule="auto"/>
        <w:jc w:val="both"/>
        <w:rPr>
          <w:rFonts w:ascii="Times New Roman" w:hAnsi="Times New Roman" w:cs="Times New Roman"/>
        </w:rPr>
      </w:pPr>
      <w:r>
        <w:rPr>
          <w:rFonts w:ascii="Times New Roman" w:hAnsi="Times New Roman" w:cs="Times New Roman"/>
        </w:rPr>
        <w:t>Ensuite</w:t>
      </w:r>
      <w:r w:rsidR="00AB5BAA">
        <w:rPr>
          <w:rFonts w:ascii="Times New Roman" w:hAnsi="Times New Roman" w:cs="Times New Roman"/>
        </w:rPr>
        <w:t xml:space="preserve">, </w:t>
      </w:r>
      <w:r w:rsidR="00D23724">
        <w:rPr>
          <w:rFonts w:ascii="Times New Roman" w:hAnsi="Times New Roman" w:cs="Times New Roman"/>
        </w:rPr>
        <w:t>en ce qui a trait aux définitions,</w:t>
      </w:r>
      <w:r w:rsidR="00AB5BAA">
        <w:rPr>
          <w:rFonts w:ascii="Times New Roman" w:hAnsi="Times New Roman" w:cs="Times New Roman"/>
        </w:rPr>
        <w:t xml:space="preserve"> </w:t>
      </w:r>
      <w:r w:rsidR="00D23724">
        <w:rPr>
          <w:rFonts w:ascii="Times New Roman" w:hAnsi="Times New Roman" w:cs="Times New Roman"/>
        </w:rPr>
        <w:t xml:space="preserve">il est </w:t>
      </w:r>
      <w:r w:rsidR="00D23724" w:rsidRPr="004B3DD4">
        <w:rPr>
          <w:rFonts w:ascii="Times New Roman" w:hAnsi="Times New Roman" w:cs="Times New Roman"/>
        </w:rPr>
        <w:t xml:space="preserve">intéressant de noter que </w:t>
      </w:r>
      <w:r w:rsidR="00AB5BAA" w:rsidRPr="004B3DD4">
        <w:rPr>
          <w:rFonts w:ascii="Times New Roman" w:hAnsi="Times New Roman" w:cs="Times New Roman"/>
        </w:rPr>
        <w:t xml:space="preserve">la Commission européenne </w:t>
      </w:r>
      <w:r w:rsidR="00170172">
        <w:rPr>
          <w:rFonts w:ascii="Times New Roman" w:hAnsi="Times New Roman" w:cs="Times New Roman"/>
        </w:rPr>
        <w:t>a adopté</w:t>
      </w:r>
      <w:r w:rsidR="00D23724" w:rsidRPr="004B3DD4">
        <w:rPr>
          <w:rFonts w:ascii="Times New Roman" w:hAnsi="Times New Roman" w:cs="Times New Roman"/>
        </w:rPr>
        <w:t xml:space="preserve"> la pratique nord-américaine sur certains sujets, mais </w:t>
      </w:r>
      <w:r w:rsidR="004B3DD4" w:rsidRPr="004B3DD4">
        <w:rPr>
          <w:rFonts w:ascii="Times New Roman" w:hAnsi="Times New Roman" w:cs="Times New Roman"/>
        </w:rPr>
        <w:t>a aussi innové</w:t>
      </w:r>
      <w:r w:rsidR="00D23724" w:rsidRPr="004B3DD4">
        <w:rPr>
          <w:rFonts w:ascii="Times New Roman" w:hAnsi="Times New Roman" w:cs="Times New Roman"/>
        </w:rPr>
        <w:t xml:space="preserve"> sur d’autres. </w:t>
      </w:r>
      <w:r w:rsidR="00224052" w:rsidRPr="004B3DD4">
        <w:rPr>
          <w:rFonts w:ascii="Times New Roman" w:hAnsi="Times New Roman" w:cs="Times New Roman"/>
        </w:rPr>
        <w:t>Il</w:t>
      </w:r>
      <w:r w:rsidR="00224052">
        <w:rPr>
          <w:rFonts w:ascii="Times New Roman" w:hAnsi="Times New Roman" w:cs="Times New Roman"/>
        </w:rPr>
        <w:t xml:space="preserve"> est en premier lieu intéressant de noter </w:t>
      </w:r>
      <w:r w:rsidR="001A4D03">
        <w:rPr>
          <w:rFonts w:ascii="Times New Roman" w:hAnsi="Times New Roman" w:cs="Times New Roman"/>
        </w:rPr>
        <w:t xml:space="preserve">que l’AECG définit notamment un investisseur comme une personne qui cherche à effectuer un investissement : </w:t>
      </w:r>
    </w:p>
    <w:p w14:paraId="3C363410" w14:textId="7724CF78" w:rsidR="001A4D03" w:rsidRPr="001A4D03" w:rsidRDefault="00066010" w:rsidP="00BA667A">
      <w:pPr>
        <w:spacing w:before="120" w:after="120"/>
        <w:ind w:left="709" w:right="709"/>
        <w:jc w:val="both"/>
        <w:rPr>
          <w:rFonts w:ascii="Times New Roman" w:hAnsi="Times New Roman" w:cs="Times New Roman"/>
          <w:i/>
          <w:sz w:val="20"/>
        </w:rPr>
      </w:pPr>
      <w:r w:rsidRPr="00066010">
        <w:rPr>
          <w:rFonts w:ascii="Times New Roman" w:hAnsi="Times New Roman" w:cs="Times New Roman"/>
          <w:bCs/>
          <w:i/>
          <w:sz w:val="20"/>
          <w:lang w:val="fr-FR"/>
        </w:rPr>
        <w:lastRenderedPageBreak/>
        <w:t xml:space="preserve">Investisseur </w:t>
      </w:r>
      <w:r w:rsidRPr="00066010">
        <w:rPr>
          <w:rFonts w:ascii="Times New Roman" w:hAnsi="Times New Roman" w:cs="Times New Roman"/>
          <w:i/>
          <w:sz w:val="20"/>
          <w:lang w:val="fr-FR"/>
        </w:rPr>
        <w:t xml:space="preserve">s’entend d'une Partie, d’une personne physique ou d'une entreprise d’une Partie, autre qu’une succursale ou un bureau de représentation, </w:t>
      </w:r>
      <w:r w:rsidRPr="00066010">
        <w:rPr>
          <w:rFonts w:ascii="Times New Roman" w:hAnsi="Times New Roman" w:cs="Times New Roman"/>
          <w:b/>
          <w:i/>
          <w:sz w:val="20"/>
          <w:lang w:val="fr-FR"/>
        </w:rPr>
        <w:t>qui cherche à effectuer</w:t>
      </w:r>
      <w:r w:rsidRPr="00066010">
        <w:rPr>
          <w:rFonts w:ascii="Times New Roman" w:hAnsi="Times New Roman" w:cs="Times New Roman"/>
          <w:i/>
          <w:sz w:val="20"/>
          <w:lang w:val="fr-FR"/>
        </w:rPr>
        <w:t>, qui effectue ou qui a effectué un investissement sur le territoire de l'autre Partie.</w:t>
      </w:r>
      <w:r w:rsidRPr="00066010">
        <w:rPr>
          <w:rFonts w:ascii="Times New Roman" w:hAnsi="Times New Roman" w:cs="Times New Roman"/>
          <w:i/>
          <w:sz w:val="20"/>
        </w:rPr>
        <w:t xml:space="preserve"> </w:t>
      </w:r>
      <w:r w:rsidR="001A4D03" w:rsidRPr="00C05F6A">
        <w:rPr>
          <w:rFonts w:ascii="Times New Roman" w:hAnsi="Times New Roman" w:cs="Times New Roman"/>
          <w:sz w:val="20"/>
        </w:rPr>
        <w:t>(</w:t>
      </w:r>
      <w:proofErr w:type="gramStart"/>
      <w:r w:rsidR="001A4D03" w:rsidRPr="00C05F6A">
        <w:rPr>
          <w:rFonts w:ascii="Times New Roman" w:hAnsi="Times New Roman" w:cs="Times New Roman"/>
          <w:sz w:val="20"/>
        </w:rPr>
        <w:t>art</w:t>
      </w:r>
      <w:proofErr w:type="gramEnd"/>
      <w:r w:rsidR="001A4D03" w:rsidRPr="00C05F6A">
        <w:rPr>
          <w:rFonts w:ascii="Times New Roman" w:hAnsi="Times New Roman" w:cs="Times New Roman"/>
          <w:sz w:val="20"/>
        </w:rPr>
        <w:t>. X.3)</w:t>
      </w:r>
      <w:r w:rsidR="001A4D03" w:rsidRPr="001A4D03">
        <w:rPr>
          <w:rFonts w:ascii="Times New Roman" w:hAnsi="Times New Roman" w:cs="Times New Roman"/>
          <w:i/>
          <w:sz w:val="20"/>
        </w:rPr>
        <w:t xml:space="preserve"> </w:t>
      </w:r>
    </w:p>
    <w:p w14:paraId="710384B2" w14:textId="3E0F2663" w:rsidR="004B1D59" w:rsidRDefault="001A4D03" w:rsidP="00BA43F7">
      <w:pPr>
        <w:spacing w:before="120" w:after="120" w:line="360" w:lineRule="auto"/>
        <w:jc w:val="both"/>
        <w:rPr>
          <w:rFonts w:ascii="Times New Roman" w:hAnsi="Times New Roman" w:cs="Times New Roman"/>
        </w:rPr>
      </w:pPr>
      <w:r>
        <w:rPr>
          <w:rFonts w:ascii="Times New Roman" w:hAnsi="Times New Roman" w:cs="Times New Roman"/>
        </w:rPr>
        <w:t>Il p</w:t>
      </w:r>
      <w:r w:rsidR="00170172">
        <w:rPr>
          <w:rFonts w:ascii="Times New Roman" w:hAnsi="Times New Roman" w:cs="Times New Roman"/>
        </w:rPr>
        <w:t xml:space="preserve">eut </w:t>
      </w:r>
      <w:r>
        <w:rPr>
          <w:rFonts w:ascii="Times New Roman" w:hAnsi="Times New Roman" w:cs="Times New Roman"/>
        </w:rPr>
        <w:t xml:space="preserve">donc être conclu que la Commission européenne a </w:t>
      </w:r>
      <w:r w:rsidR="00170172">
        <w:rPr>
          <w:rFonts w:ascii="Times New Roman" w:hAnsi="Times New Roman" w:cs="Times New Roman"/>
        </w:rPr>
        <w:t>consenti au</w:t>
      </w:r>
      <w:r>
        <w:rPr>
          <w:rFonts w:ascii="Times New Roman" w:hAnsi="Times New Roman" w:cs="Times New Roman"/>
        </w:rPr>
        <w:t xml:space="preserve"> modèle de protection pré-établiss</w:t>
      </w:r>
      <w:r w:rsidR="004C387C">
        <w:rPr>
          <w:rFonts w:ascii="Times New Roman" w:hAnsi="Times New Roman" w:cs="Times New Roman"/>
        </w:rPr>
        <w:t>e</w:t>
      </w:r>
      <w:r>
        <w:rPr>
          <w:rFonts w:ascii="Times New Roman" w:hAnsi="Times New Roman" w:cs="Times New Roman"/>
        </w:rPr>
        <w:t>ment propre aux traités des États-Unis, d</w:t>
      </w:r>
      <w:r w:rsidR="00780008">
        <w:rPr>
          <w:rFonts w:ascii="Times New Roman" w:hAnsi="Times New Roman" w:cs="Times New Roman"/>
        </w:rPr>
        <w:t>u Canada et du Japon (</w:t>
      </w:r>
      <w:proofErr w:type="spellStart"/>
      <w:r w:rsidR="00780008">
        <w:rPr>
          <w:rFonts w:ascii="Times New Roman" w:hAnsi="Times New Roman" w:cs="Times New Roman"/>
        </w:rPr>
        <w:t>Newcombe</w:t>
      </w:r>
      <w:proofErr w:type="spellEnd"/>
      <w:r w:rsidR="00780008">
        <w:rPr>
          <w:rFonts w:ascii="Times New Roman" w:hAnsi="Times New Roman" w:cs="Times New Roman"/>
        </w:rPr>
        <w:t xml:space="preserve"> et </w:t>
      </w:r>
      <w:proofErr w:type="spellStart"/>
      <w:r w:rsidR="00780008">
        <w:rPr>
          <w:rFonts w:ascii="Times New Roman" w:hAnsi="Times New Roman" w:cs="Times New Roman"/>
        </w:rPr>
        <w:t>Paradell</w:t>
      </w:r>
      <w:proofErr w:type="spellEnd"/>
      <w:r>
        <w:rPr>
          <w:rFonts w:ascii="Times New Roman" w:hAnsi="Times New Roman" w:cs="Times New Roman"/>
        </w:rPr>
        <w:t xml:space="preserve"> 2009 : 137). Cela s’éloigne en effet de la pratique européenne qui protège n</w:t>
      </w:r>
      <w:r w:rsidR="00BD3C9E">
        <w:rPr>
          <w:rFonts w:ascii="Times New Roman" w:hAnsi="Times New Roman" w:cs="Times New Roman"/>
        </w:rPr>
        <w:t>ormalement les investisseurs uniquement une</w:t>
      </w:r>
      <w:r>
        <w:rPr>
          <w:rFonts w:ascii="Times New Roman" w:hAnsi="Times New Roman" w:cs="Times New Roman"/>
        </w:rPr>
        <w:t xml:space="preserve"> fois qu’un investi</w:t>
      </w:r>
      <w:r w:rsidR="00780008">
        <w:rPr>
          <w:rFonts w:ascii="Times New Roman" w:hAnsi="Times New Roman" w:cs="Times New Roman"/>
        </w:rPr>
        <w:t>ssement a été effectué (</w:t>
      </w:r>
      <w:proofErr w:type="spellStart"/>
      <w:r w:rsidR="00780008">
        <w:rPr>
          <w:rFonts w:ascii="Times New Roman" w:hAnsi="Times New Roman" w:cs="Times New Roman"/>
        </w:rPr>
        <w:t>Bonzon</w:t>
      </w:r>
      <w:proofErr w:type="spellEnd"/>
      <w:r w:rsidR="00780008">
        <w:rPr>
          <w:rFonts w:ascii="Times New Roman" w:hAnsi="Times New Roman" w:cs="Times New Roman"/>
        </w:rPr>
        <w:t xml:space="preserve"> </w:t>
      </w:r>
      <w:r>
        <w:rPr>
          <w:rFonts w:ascii="Times New Roman" w:hAnsi="Times New Roman" w:cs="Times New Roman"/>
        </w:rPr>
        <w:t>2014 : 812). Seul le</w:t>
      </w:r>
      <w:r w:rsidR="00170172">
        <w:rPr>
          <w:rFonts w:ascii="Times New Roman" w:hAnsi="Times New Roman" w:cs="Times New Roman"/>
        </w:rPr>
        <w:t xml:space="preserve"> modèle d’accord allemand donne</w:t>
      </w:r>
      <w:r>
        <w:rPr>
          <w:rFonts w:ascii="Times New Roman" w:hAnsi="Times New Roman" w:cs="Times New Roman"/>
        </w:rPr>
        <w:t xml:space="preserve"> une définition d’investisseur, ce qui traduit bien leur tendance à davantage protéger les investissements </w:t>
      </w:r>
      <w:r w:rsidR="00170172">
        <w:rPr>
          <w:rFonts w:ascii="Times New Roman" w:hAnsi="Times New Roman" w:cs="Times New Roman"/>
        </w:rPr>
        <w:t>que</w:t>
      </w:r>
      <w:r>
        <w:rPr>
          <w:rFonts w:ascii="Times New Roman" w:hAnsi="Times New Roman" w:cs="Times New Roman"/>
        </w:rPr>
        <w:t xml:space="preserve"> les investisseurs. Toutefois, cette définition d’investisseur n’est pas reprise dans l’ALEUES</w:t>
      </w:r>
      <w:r w:rsidR="004B1D59">
        <w:rPr>
          <w:rFonts w:ascii="Times New Roman" w:hAnsi="Times New Roman" w:cs="Times New Roman"/>
        </w:rPr>
        <w:t xml:space="preserve">. Il est alors difficile de </w:t>
      </w:r>
      <w:r w:rsidR="00E17A63">
        <w:rPr>
          <w:rFonts w:ascii="Times New Roman" w:hAnsi="Times New Roman" w:cs="Times New Roman"/>
        </w:rPr>
        <w:t>conclure que la Commission européenne désire réellement inclure cette définition dans son modèle.</w:t>
      </w:r>
      <w:r w:rsidR="004B1D59">
        <w:rPr>
          <w:rFonts w:ascii="Times New Roman" w:hAnsi="Times New Roman" w:cs="Times New Roman"/>
        </w:rPr>
        <w:t xml:space="preserve"> </w:t>
      </w:r>
      <w:r w:rsidR="00E17A63">
        <w:rPr>
          <w:rFonts w:ascii="Times New Roman" w:hAnsi="Times New Roman" w:cs="Times New Roman"/>
        </w:rPr>
        <w:t xml:space="preserve">Il est en effet possible que ce soit </w:t>
      </w:r>
      <w:r w:rsidR="004B1D59">
        <w:rPr>
          <w:rFonts w:ascii="Times New Roman" w:hAnsi="Times New Roman" w:cs="Times New Roman"/>
        </w:rPr>
        <w:t xml:space="preserve">le Canada qui a tout simplement réussi à imposer sa vision sur ce point. La clause NPF ne s’appliquant qu’aux « traitements », il est </w:t>
      </w:r>
      <w:r w:rsidR="00E17A63">
        <w:rPr>
          <w:rFonts w:ascii="Times New Roman" w:hAnsi="Times New Roman" w:cs="Times New Roman"/>
        </w:rPr>
        <w:t>permis</w:t>
      </w:r>
      <w:r w:rsidR="004B1D59">
        <w:rPr>
          <w:rFonts w:ascii="Times New Roman" w:hAnsi="Times New Roman" w:cs="Times New Roman"/>
        </w:rPr>
        <w:t xml:space="preserve"> de penser que cela n’inclut pas les définitions et que, par le fait même, la Commission européenne n’aurait pas à étendre cette  concession à tous ses partenaires. Fait intéressant cependant, dans son accord de libre-échange avec la Corée de 2011, la Commission européenne a également défini un investisseur comme une personne qui tente d’établir une activité économique : « </w:t>
      </w:r>
      <w:proofErr w:type="spellStart"/>
      <w:r w:rsidR="004B1D59" w:rsidRPr="004B1D59">
        <w:rPr>
          <w:rFonts w:ascii="Times New Roman" w:hAnsi="Times New Roman" w:cs="Times New Roman"/>
          <w:i/>
        </w:rPr>
        <w:t>investor</w:t>
      </w:r>
      <w:proofErr w:type="spellEnd"/>
      <w:r w:rsidR="004B1D59" w:rsidRPr="004B1D59">
        <w:rPr>
          <w:rFonts w:ascii="Times New Roman" w:hAnsi="Times New Roman" w:cs="Times New Roman"/>
          <w:i/>
        </w:rPr>
        <w:t xml:space="preserve"> </w:t>
      </w:r>
      <w:proofErr w:type="spellStart"/>
      <w:r w:rsidR="004B1D59" w:rsidRPr="004B1D59">
        <w:rPr>
          <w:rFonts w:ascii="Times New Roman" w:hAnsi="Times New Roman" w:cs="Times New Roman"/>
          <w:i/>
        </w:rPr>
        <w:t>means</w:t>
      </w:r>
      <w:proofErr w:type="spellEnd"/>
      <w:r w:rsidR="004B1D59" w:rsidRPr="004B1D59">
        <w:rPr>
          <w:rFonts w:ascii="Times New Roman" w:hAnsi="Times New Roman" w:cs="Times New Roman"/>
          <w:i/>
        </w:rPr>
        <w:t xml:space="preserve"> </w:t>
      </w:r>
      <w:proofErr w:type="spellStart"/>
      <w:r w:rsidR="004B1D59" w:rsidRPr="004B1D59">
        <w:rPr>
          <w:rFonts w:ascii="Times New Roman" w:hAnsi="Times New Roman" w:cs="Times New Roman"/>
          <w:i/>
        </w:rPr>
        <w:t>any</w:t>
      </w:r>
      <w:proofErr w:type="spellEnd"/>
      <w:r w:rsidR="004B1D59" w:rsidRPr="004B1D59">
        <w:rPr>
          <w:rFonts w:ascii="Times New Roman" w:hAnsi="Times New Roman" w:cs="Times New Roman"/>
          <w:i/>
        </w:rPr>
        <w:t xml:space="preserve"> </w:t>
      </w:r>
      <w:proofErr w:type="spellStart"/>
      <w:r w:rsidR="004B1D59" w:rsidRPr="004B1D59">
        <w:rPr>
          <w:rFonts w:ascii="Times New Roman" w:hAnsi="Times New Roman" w:cs="Times New Roman"/>
          <w:i/>
        </w:rPr>
        <w:t>person</w:t>
      </w:r>
      <w:proofErr w:type="spellEnd"/>
      <w:r w:rsidR="004B1D59" w:rsidRPr="004B1D59">
        <w:rPr>
          <w:rFonts w:ascii="Times New Roman" w:hAnsi="Times New Roman" w:cs="Times New Roman"/>
          <w:i/>
        </w:rPr>
        <w:t xml:space="preserve"> </w:t>
      </w:r>
      <w:proofErr w:type="spellStart"/>
      <w:r w:rsidR="004B1D59" w:rsidRPr="004B1D59">
        <w:rPr>
          <w:rFonts w:ascii="Times New Roman" w:hAnsi="Times New Roman" w:cs="Times New Roman"/>
          <w:i/>
        </w:rPr>
        <w:t>that</w:t>
      </w:r>
      <w:proofErr w:type="spellEnd"/>
      <w:r w:rsidR="004B1D59" w:rsidRPr="004B1D59">
        <w:rPr>
          <w:rFonts w:ascii="Times New Roman" w:hAnsi="Times New Roman" w:cs="Times New Roman"/>
          <w:i/>
        </w:rPr>
        <w:t xml:space="preserve"> </w:t>
      </w:r>
      <w:proofErr w:type="spellStart"/>
      <w:r w:rsidR="004B1D59" w:rsidRPr="004B1D59">
        <w:rPr>
          <w:rFonts w:ascii="Times New Roman" w:hAnsi="Times New Roman" w:cs="Times New Roman"/>
          <w:i/>
        </w:rPr>
        <w:t>seeks</w:t>
      </w:r>
      <w:proofErr w:type="spellEnd"/>
      <w:r w:rsidR="004B1D59" w:rsidRPr="004B1D59">
        <w:rPr>
          <w:rFonts w:ascii="Times New Roman" w:hAnsi="Times New Roman" w:cs="Times New Roman"/>
          <w:i/>
        </w:rPr>
        <w:t xml:space="preserve"> to </w:t>
      </w:r>
      <w:proofErr w:type="spellStart"/>
      <w:r w:rsidR="004B1D59" w:rsidRPr="004B1D59">
        <w:rPr>
          <w:rFonts w:ascii="Times New Roman" w:hAnsi="Times New Roman" w:cs="Times New Roman"/>
          <w:i/>
        </w:rPr>
        <w:t>perform</w:t>
      </w:r>
      <w:proofErr w:type="spellEnd"/>
      <w:r w:rsidR="004B1D59" w:rsidRPr="004B1D59">
        <w:rPr>
          <w:rFonts w:ascii="Times New Roman" w:hAnsi="Times New Roman" w:cs="Times New Roman"/>
          <w:i/>
        </w:rPr>
        <w:t xml:space="preserve"> or </w:t>
      </w:r>
      <w:proofErr w:type="spellStart"/>
      <w:r w:rsidR="004B1D59" w:rsidRPr="004B1D59">
        <w:rPr>
          <w:rFonts w:ascii="Times New Roman" w:hAnsi="Times New Roman" w:cs="Times New Roman"/>
          <w:i/>
        </w:rPr>
        <w:t>performs</w:t>
      </w:r>
      <w:proofErr w:type="spellEnd"/>
      <w:r w:rsidR="004B1D59" w:rsidRPr="004B1D59">
        <w:rPr>
          <w:rFonts w:ascii="Times New Roman" w:hAnsi="Times New Roman" w:cs="Times New Roman"/>
          <w:i/>
        </w:rPr>
        <w:t xml:space="preserve"> an </w:t>
      </w:r>
      <w:proofErr w:type="spellStart"/>
      <w:r w:rsidR="004B1D59" w:rsidRPr="004B1D59">
        <w:rPr>
          <w:rFonts w:ascii="Times New Roman" w:hAnsi="Times New Roman" w:cs="Times New Roman"/>
          <w:i/>
        </w:rPr>
        <w:t>economic</w:t>
      </w:r>
      <w:proofErr w:type="spellEnd"/>
      <w:r w:rsidR="004B1D59" w:rsidRPr="004B1D59">
        <w:rPr>
          <w:rFonts w:ascii="Times New Roman" w:hAnsi="Times New Roman" w:cs="Times New Roman"/>
          <w:i/>
        </w:rPr>
        <w:t xml:space="preserve"> </w:t>
      </w:r>
      <w:proofErr w:type="spellStart"/>
      <w:r w:rsidR="004B1D59" w:rsidRPr="004B1D59">
        <w:rPr>
          <w:rFonts w:ascii="Times New Roman" w:hAnsi="Times New Roman" w:cs="Times New Roman"/>
          <w:i/>
        </w:rPr>
        <w:t>activity</w:t>
      </w:r>
      <w:proofErr w:type="spellEnd"/>
      <w:r w:rsidR="004B1D59" w:rsidRPr="004B1D59">
        <w:rPr>
          <w:rFonts w:ascii="Times New Roman" w:hAnsi="Times New Roman" w:cs="Times New Roman"/>
          <w:i/>
        </w:rPr>
        <w:t xml:space="preserve"> </w:t>
      </w:r>
      <w:proofErr w:type="spellStart"/>
      <w:r w:rsidR="004B1D59" w:rsidRPr="004B1D59">
        <w:rPr>
          <w:rFonts w:ascii="Times New Roman" w:hAnsi="Times New Roman" w:cs="Times New Roman"/>
          <w:i/>
        </w:rPr>
        <w:t>through</w:t>
      </w:r>
      <w:proofErr w:type="spellEnd"/>
      <w:r w:rsidR="004B1D59" w:rsidRPr="004B1D59">
        <w:rPr>
          <w:rFonts w:ascii="Times New Roman" w:hAnsi="Times New Roman" w:cs="Times New Roman"/>
          <w:i/>
        </w:rPr>
        <w:t xml:space="preserve"> setting up an establishment »</w:t>
      </w:r>
      <w:r w:rsidR="004B1D59">
        <w:rPr>
          <w:rFonts w:ascii="Times New Roman" w:hAnsi="Times New Roman" w:cs="Times New Roman"/>
          <w:i/>
        </w:rPr>
        <w:t xml:space="preserve"> </w:t>
      </w:r>
      <w:r w:rsidR="004B1D59">
        <w:rPr>
          <w:rFonts w:ascii="Times New Roman" w:hAnsi="Times New Roman" w:cs="Times New Roman"/>
        </w:rPr>
        <w:t xml:space="preserve">(art. 7.9). </w:t>
      </w:r>
      <w:r w:rsidR="00DF02AC">
        <w:rPr>
          <w:rFonts w:ascii="Times New Roman" w:hAnsi="Times New Roman" w:cs="Times New Roman"/>
        </w:rPr>
        <w:t>La position de la Commission européenne semble donc encore en évolution, mais sachant que la Corée utilise généralement un modèle pré-établissement, il peut être déduit que c’est une concession qu’elle est prête à faire.</w:t>
      </w:r>
      <w:r w:rsidR="00E17A63">
        <w:rPr>
          <w:rFonts w:ascii="Times New Roman" w:hAnsi="Times New Roman" w:cs="Times New Roman"/>
        </w:rPr>
        <w:t xml:space="preserve"> D’autant plus, comme il sera démontré plus loin</w:t>
      </w:r>
      <w:r w:rsidR="00F421FF">
        <w:rPr>
          <w:rFonts w:ascii="Times New Roman" w:hAnsi="Times New Roman" w:cs="Times New Roman"/>
        </w:rPr>
        <w:t>,</w:t>
      </w:r>
      <w:r w:rsidR="00E17A63">
        <w:rPr>
          <w:rFonts w:ascii="Times New Roman" w:hAnsi="Times New Roman" w:cs="Times New Roman"/>
        </w:rPr>
        <w:t xml:space="preserve"> que</w:t>
      </w:r>
      <w:r w:rsidR="00F421FF">
        <w:rPr>
          <w:rFonts w:ascii="Times New Roman" w:hAnsi="Times New Roman" w:cs="Times New Roman"/>
        </w:rPr>
        <w:t xml:space="preserve"> le modèle européen semble se destiner à exclure les protections pré-établissement de l’utilisation de l’arbit</w:t>
      </w:r>
      <w:r w:rsidR="00780008">
        <w:rPr>
          <w:rFonts w:ascii="Times New Roman" w:hAnsi="Times New Roman" w:cs="Times New Roman"/>
        </w:rPr>
        <w:t>rage investisseur – État (Shan et Zhang</w:t>
      </w:r>
      <w:r w:rsidR="00F421FF">
        <w:rPr>
          <w:rFonts w:ascii="Times New Roman" w:hAnsi="Times New Roman" w:cs="Times New Roman"/>
        </w:rPr>
        <w:t xml:space="preserve"> 2014 : 450-451).</w:t>
      </w:r>
    </w:p>
    <w:p w14:paraId="30A15C8F" w14:textId="737E6B43" w:rsidR="005127F3" w:rsidRDefault="00E17A63" w:rsidP="00BA43F7">
      <w:pPr>
        <w:spacing w:before="120" w:after="120" w:line="360" w:lineRule="auto"/>
        <w:jc w:val="both"/>
        <w:rPr>
          <w:rFonts w:ascii="Times New Roman" w:hAnsi="Times New Roman" w:cs="Times New Roman"/>
        </w:rPr>
      </w:pPr>
      <w:r>
        <w:rPr>
          <w:rFonts w:ascii="Times New Roman" w:hAnsi="Times New Roman" w:cs="Times New Roman"/>
        </w:rPr>
        <w:t>A</w:t>
      </w:r>
      <w:r w:rsidR="009E3C25">
        <w:rPr>
          <w:rFonts w:ascii="Times New Roman" w:hAnsi="Times New Roman" w:cs="Times New Roman"/>
        </w:rPr>
        <w:t>utre point à souligner en lien avec la définition d’un investisseur</w:t>
      </w:r>
      <w:r>
        <w:rPr>
          <w:rFonts w:ascii="Times New Roman" w:hAnsi="Times New Roman" w:cs="Times New Roman"/>
        </w:rPr>
        <w:t> :</w:t>
      </w:r>
      <w:r w:rsidR="009E3C25">
        <w:rPr>
          <w:rFonts w:ascii="Times New Roman" w:hAnsi="Times New Roman" w:cs="Times New Roman"/>
        </w:rPr>
        <w:t xml:space="preserve"> l</w:t>
      </w:r>
      <w:r w:rsidR="004C3DD9">
        <w:rPr>
          <w:rFonts w:ascii="Times New Roman" w:hAnsi="Times New Roman" w:cs="Times New Roman"/>
        </w:rPr>
        <w:t xml:space="preserve">a façon dont la nationalité </w:t>
      </w:r>
      <w:r w:rsidR="003811EC">
        <w:rPr>
          <w:rFonts w:ascii="Times New Roman" w:hAnsi="Times New Roman" w:cs="Times New Roman"/>
        </w:rPr>
        <w:t>d’une entreprise est déterminée</w:t>
      </w:r>
      <w:r w:rsidR="00BD3C9E">
        <w:rPr>
          <w:rFonts w:ascii="Times New Roman" w:hAnsi="Times New Roman" w:cs="Times New Roman"/>
        </w:rPr>
        <w:t xml:space="preserve">. </w:t>
      </w:r>
      <w:r>
        <w:rPr>
          <w:rFonts w:ascii="Times New Roman" w:hAnsi="Times New Roman" w:cs="Times New Roman"/>
        </w:rPr>
        <w:t>L</w:t>
      </w:r>
      <w:r w:rsidR="00B73CE3">
        <w:rPr>
          <w:rFonts w:ascii="Times New Roman" w:hAnsi="Times New Roman" w:cs="Times New Roman"/>
        </w:rPr>
        <w:t xml:space="preserve">a question de la nationalité des personnes morales est </w:t>
      </w:r>
      <w:r>
        <w:rPr>
          <w:rFonts w:ascii="Times New Roman" w:hAnsi="Times New Roman" w:cs="Times New Roman"/>
        </w:rPr>
        <w:t xml:space="preserve">d’ailleurs </w:t>
      </w:r>
      <w:r w:rsidR="00B73CE3">
        <w:rPr>
          <w:rFonts w:ascii="Times New Roman" w:hAnsi="Times New Roman" w:cs="Times New Roman"/>
        </w:rPr>
        <w:t xml:space="preserve">source de débats depuis déjà un certain temps </w:t>
      </w:r>
      <w:r w:rsidR="003811EC">
        <w:rPr>
          <w:rFonts w:ascii="Times New Roman" w:hAnsi="Times New Roman" w:cs="Times New Roman"/>
        </w:rPr>
        <w:t>en droit international</w:t>
      </w:r>
      <w:r w:rsidR="00B73CE3">
        <w:rPr>
          <w:rFonts w:ascii="Times New Roman" w:hAnsi="Times New Roman" w:cs="Times New Roman"/>
        </w:rPr>
        <w:t xml:space="preserve">. </w:t>
      </w:r>
      <w:r w:rsidR="009C2A1A">
        <w:rPr>
          <w:rFonts w:ascii="Times New Roman" w:hAnsi="Times New Roman" w:cs="Times New Roman"/>
        </w:rPr>
        <w:t>En 1970, d</w:t>
      </w:r>
      <w:r w:rsidR="00B73CE3">
        <w:rPr>
          <w:rFonts w:ascii="Times New Roman" w:hAnsi="Times New Roman" w:cs="Times New Roman"/>
        </w:rPr>
        <w:t xml:space="preserve">ans la célèbre affaire </w:t>
      </w:r>
      <w:r w:rsidR="00B73CE3">
        <w:rPr>
          <w:rFonts w:ascii="Times New Roman" w:hAnsi="Times New Roman" w:cs="Times New Roman"/>
          <w:i/>
        </w:rPr>
        <w:t>Barcelona Traction</w:t>
      </w:r>
      <w:r w:rsidR="00B73CE3">
        <w:rPr>
          <w:rFonts w:ascii="Times New Roman" w:hAnsi="Times New Roman" w:cs="Times New Roman"/>
        </w:rPr>
        <w:t>, la Cour internationale de Justice avait notamment soutenu que c’est le lieu d’incorporation</w:t>
      </w:r>
      <w:r w:rsidR="009C2A1A">
        <w:rPr>
          <w:rFonts w:ascii="Times New Roman" w:hAnsi="Times New Roman" w:cs="Times New Roman"/>
        </w:rPr>
        <w:t xml:space="preserve"> et du siège social</w:t>
      </w:r>
      <w:r w:rsidR="00B73CE3">
        <w:rPr>
          <w:rFonts w:ascii="Times New Roman" w:hAnsi="Times New Roman" w:cs="Times New Roman"/>
        </w:rPr>
        <w:t xml:space="preserve"> qui devait servir de </w:t>
      </w:r>
      <w:r w:rsidR="009C2A1A">
        <w:rPr>
          <w:rFonts w:ascii="Times New Roman" w:hAnsi="Times New Roman" w:cs="Times New Roman"/>
        </w:rPr>
        <w:t xml:space="preserve">facteurs déterminants (para 70). En droit des investissements, l’affaire </w:t>
      </w:r>
      <w:proofErr w:type="spellStart"/>
      <w:r w:rsidR="009C2A1A">
        <w:rPr>
          <w:rFonts w:ascii="Times New Roman" w:hAnsi="Times New Roman" w:cs="Times New Roman"/>
          <w:i/>
        </w:rPr>
        <w:t>Tokio</w:t>
      </w:r>
      <w:r w:rsidR="005C006D">
        <w:rPr>
          <w:rFonts w:ascii="Times New Roman" w:hAnsi="Times New Roman" w:cs="Times New Roman"/>
          <w:i/>
        </w:rPr>
        <w:t>s</w:t>
      </w:r>
      <w:proofErr w:type="spellEnd"/>
      <w:r w:rsidR="009C2A1A">
        <w:rPr>
          <w:rFonts w:ascii="Times New Roman" w:hAnsi="Times New Roman" w:cs="Times New Roman"/>
          <w:i/>
        </w:rPr>
        <w:t xml:space="preserve"> </w:t>
      </w:r>
      <w:proofErr w:type="spellStart"/>
      <w:r w:rsidR="009C2A1A">
        <w:rPr>
          <w:rFonts w:ascii="Times New Roman" w:hAnsi="Times New Roman" w:cs="Times New Roman"/>
          <w:i/>
        </w:rPr>
        <w:t>Tokeles</w:t>
      </w:r>
      <w:proofErr w:type="spellEnd"/>
      <w:r w:rsidR="009C2A1A">
        <w:rPr>
          <w:rFonts w:ascii="Times New Roman" w:hAnsi="Times New Roman" w:cs="Times New Roman"/>
          <w:i/>
        </w:rPr>
        <w:t xml:space="preserve"> </w:t>
      </w:r>
      <w:r w:rsidR="009C2A1A">
        <w:rPr>
          <w:rFonts w:ascii="Times New Roman" w:hAnsi="Times New Roman" w:cs="Times New Roman"/>
        </w:rPr>
        <w:t>était venu</w:t>
      </w:r>
      <w:r w:rsidR="00753ABF">
        <w:rPr>
          <w:rFonts w:ascii="Times New Roman" w:hAnsi="Times New Roman" w:cs="Times New Roman"/>
        </w:rPr>
        <w:t>e</w:t>
      </w:r>
      <w:r w:rsidR="009C2A1A">
        <w:rPr>
          <w:rFonts w:ascii="Times New Roman" w:hAnsi="Times New Roman" w:cs="Times New Roman"/>
        </w:rPr>
        <w:t xml:space="preserve"> confirmer cette interprétation (2004 : para 40)</w:t>
      </w:r>
      <w:r w:rsidR="0083137B">
        <w:rPr>
          <w:rFonts w:ascii="Times New Roman" w:hAnsi="Times New Roman" w:cs="Times New Roman"/>
        </w:rPr>
        <w:t xml:space="preserve">. </w:t>
      </w:r>
    </w:p>
    <w:p w14:paraId="6FC0829C" w14:textId="6BE32BE6" w:rsidR="005127F3" w:rsidRDefault="0083137B" w:rsidP="00BA43F7">
      <w:pPr>
        <w:spacing w:before="120" w:after="120" w:line="360" w:lineRule="auto"/>
        <w:jc w:val="both"/>
        <w:rPr>
          <w:rFonts w:ascii="Times New Roman" w:hAnsi="Times New Roman" w:cs="Times New Roman"/>
        </w:rPr>
      </w:pPr>
      <w:r>
        <w:rPr>
          <w:rFonts w:ascii="Times New Roman" w:hAnsi="Times New Roman" w:cs="Times New Roman"/>
        </w:rPr>
        <w:t>Par crainte de voir des plaintes dépos</w:t>
      </w:r>
      <w:r w:rsidR="00BD3C9E">
        <w:rPr>
          <w:rFonts w:ascii="Times New Roman" w:hAnsi="Times New Roman" w:cs="Times New Roman"/>
        </w:rPr>
        <w:t>ées contre l’Union européenne ou</w:t>
      </w:r>
      <w:r>
        <w:rPr>
          <w:rFonts w:ascii="Times New Roman" w:hAnsi="Times New Roman" w:cs="Times New Roman"/>
        </w:rPr>
        <w:t xml:space="preserve"> ses États membres au nom de simples sociétés écrans (</w:t>
      </w:r>
      <w:proofErr w:type="spellStart"/>
      <w:r>
        <w:rPr>
          <w:rFonts w:ascii="Times New Roman" w:hAnsi="Times New Roman" w:cs="Times New Roman"/>
          <w:i/>
        </w:rPr>
        <w:t>shell</w:t>
      </w:r>
      <w:proofErr w:type="spellEnd"/>
      <w:r>
        <w:rPr>
          <w:rFonts w:ascii="Times New Roman" w:hAnsi="Times New Roman" w:cs="Times New Roman"/>
          <w:i/>
        </w:rPr>
        <w:t xml:space="preserve"> </w:t>
      </w:r>
      <w:proofErr w:type="spellStart"/>
      <w:r>
        <w:rPr>
          <w:rFonts w:ascii="Times New Roman" w:hAnsi="Times New Roman" w:cs="Times New Roman"/>
          <w:i/>
        </w:rPr>
        <w:t>companies</w:t>
      </w:r>
      <w:proofErr w:type="spellEnd"/>
      <w:r w:rsidR="003811EC">
        <w:rPr>
          <w:rFonts w:ascii="Times New Roman" w:hAnsi="Times New Roman" w:cs="Times New Roman"/>
        </w:rPr>
        <w:t xml:space="preserve">), le Parlement européen avait alors </w:t>
      </w:r>
      <w:r>
        <w:rPr>
          <w:rFonts w:ascii="Times New Roman" w:hAnsi="Times New Roman" w:cs="Times New Roman"/>
        </w:rPr>
        <w:t xml:space="preserve">demandé à la </w:t>
      </w:r>
      <w:r>
        <w:rPr>
          <w:rFonts w:ascii="Times New Roman" w:hAnsi="Times New Roman" w:cs="Times New Roman"/>
        </w:rPr>
        <w:lastRenderedPageBreak/>
        <w:t xml:space="preserve">Commission </w:t>
      </w:r>
      <w:r w:rsidR="004858F1">
        <w:rPr>
          <w:rFonts w:ascii="Times New Roman" w:hAnsi="Times New Roman" w:cs="Times New Roman"/>
        </w:rPr>
        <w:t>européenne</w:t>
      </w:r>
      <w:r w:rsidR="00E17A63">
        <w:rPr>
          <w:rFonts w:ascii="Times New Roman" w:hAnsi="Times New Roman" w:cs="Times New Roman"/>
        </w:rPr>
        <w:t>,</w:t>
      </w:r>
      <w:r w:rsidR="004858F1">
        <w:rPr>
          <w:rFonts w:ascii="Times New Roman" w:hAnsi="Times New Roman" w:cs="Times New Roman"/>
        </w:rPr>
        <w:t xml:space="preserve"> dans sa résolution de 2011</w:t>
      </w:r>
      <w:r w:rsidR="00E17A63">
        <w:rPr>
          <w:rFonts w:ascii="Times New Roman" w:hAnsi="Times New Roman" w:cs="Times New Roman"/>
        </w:rPr>
        <w:t>,</w:t>
      </w:r>
      <w:r w:rsidR="004858F1">
        <w:rPr>
          <w:rFonts w:ascii="Times New Roman" w:hAnsi="Times New Roman" w:cs="Times New Roman"/>
        </w:rPr>
        <w:t xml:space="preserve"> </w:t>
      </w:r>
      <w:r>
        <w:rPr>
          <w:rFonts w:ascii="Times New Roman" w:hAnsi="Times New Roman" w:cs="Times New Roman"/>
        </w:rPr>
        <w:t xml:space="preserve">de </w:t>
      </w:r>
      <w:r w:rsidR="004858F1">
        <w:rPr>
          <w:rFonts w:ascii="Times New Roman" w:hAnsi="Times New Roman" w:cs="Times New Roman"/>
        </w:rPr>
        <w:t xml:space="preserve">se baser sur les plus récents documents de référence de l’OCDE pour définir un investisseur (para 14). </w:t>
      </w:r>
      <w:r w:rsidR="005C006D">
        <w:rPr>
          <w:rFonts w:ascii="Times New Roman" w:hAnsi="Times New Roman" w:cs="Times New Roman"/>
        </w:rPr>
        <w:t>L</w:t>
      </w:r>
      <w:r w:rsidR="004858F1">
        <w:rPr>
          <w:rFonts w:ascii="Times New Roman" w:hAnsi="Times New Roman" w:cs="Times New Roman"/>
        </w:rPr>
        <w:t xml:space="preserve">’OCDE </w:t>
      </w:r>
      <w:r w:rsidR="00BD3C9E">
        <w:rPr>
          <w:rFonts w:ascii="Times New Roman" w:hAnsi="Times New Roman" w:cs="Times New Roman"/>
        </w:rPr>
        <w:t>soulignait</w:t>
      </w:r>
      <w:r w:rsidR="00E37341">
        <w:rPr>
          <w:rFonts w:ascii="Times New Roman" w:hAnsi="Times New Roman" w:cs="Times New Roman"/>
        </w:rPr>
        <w:t xml:space="preserve"> ainsi</w:t>
      </w:r>
      <w:r w:rsidR="00BD3C9E">
        <w:rPr>
          <w:rFonts w:ascii="Times New Roman" w:hAnsi="Times New Roman" w:cs="Times New Roman"/>
        </w:rPr>
        <w:t xml:space="preserve"> </w:t>
      </w:r>
      <w:r w:rsidR="00E37341">
        <w:rPr>
          <w:rFonts w:ascii="Times New Roman" w:hAnsi="Times New Roman" w:cs="Times New Roman"/>
        </w:rPr>
        <w:t xml:space="preserve">qu’un bon moyen </w:t>
      </w:r>
      <w:r w:rsidR="00E17A63">
        <w:rPr>
          <w:rFonts w:ascii="Times New Roman" w:hAnsi="Times New Roman" w:cs="Times New Roman"/>
        </w:rPr>
        <w:t>de</w:t>
      </w:r>
      <w:r w:rsidR="00E37341">
        <w:rPr>
          <w:rFonts w:ascii="Times New Roman" w:hAnsi="Times New Roman" w:cs="Times New Roman"/>
        </w:rPr>
        <w:t xml:space="preserve"> se</w:t>
      </w:r>
      <w:r w:rsidR="00BD3C9E">
        <w:rPr>
          <w:rFonts w:ascii="Times New Roman" w:hAnsi="Times New Roman" w:cs="Times New Roman"/>
        </w:rPr>
        <w:t xml:space="preserve"> prémunir contre </w:t>
      </w:r>
      <w:r w:rsidR="00E37341">
        <w:rPr>
          <w:rFonts w:ascii="Times New Roman" w:hAnsi="Times New Roman" w:cs="Times New Roman"/>
        </w:rPr>
        <w:t>de telles sociétés</w:t>
      </w:r>
      <w:r w:rsidR="004858F1">
        <w:rPr>
          <w:rFonts w:ascii="Times New Roman" w:hAnsi="Times New Roman" w:cs="Times New Roman"/>
        </w:rPr>
        <w:t xml:space="preserve"> </w:t>
      </w:r>
      <w:r w:rsidR="00E37341">
        <w:rPr>
          <w:rFonts w:ascii="Times New Roman" w:hAnsi="Times New Roman" w:cs="Times New Roman"/>
        </w:rPr>
        <w:t>était d’utiliser</w:t>
      </w:r>
      <w:r w:rsidR="00E17A63">
        <w:rPr>
          <w:rFonts w:ascii="Times New Roman" w:hAnsi="Times New Roman" w:cs="Times New Roman"/>
        </w:rPr>
        <w:t xml:space="preserve"> des clauses visant à</w:t>
      </w:r>
      <w:r w:rsidR="004858F1">
        <w:rPr>
          <w:rFonts w:ascii="Times New Roman" w:hAnsi="Times New Roman" w:cs="Times New Roman"/>
        </w:rPr>
        <w:t xml:space="preserve"> refuser les avantages </w:t>
      </w:r>
      <w:r w:rsidR="00E37341">
        <w:rPr>
          <w:rFonts w:ascii="Times New Roman" w:hAnsi="Times New Roman" w:cs="Times New Roman"/>
        </w:rPr>
        <w:t xml:space="preserve">du traité </w:t>
      </w:r>
      <w:r w:rsidR="004858F1">
        <w:rPr>
          <w:rFonts w:ascii="Times New Roman" w:hAnsi="Times New Roman" w:cs="Times New Roman"/>
        </w:rPr>
        <w:t>aux investisseurs qui n’ont pas d’activités commerciales importantes</w:t>
      </w:r>
      <w:r w:rsidR="0093457A">
        <w:rPr>
          <w:rFonts w:ascii="Times New Roman" w:hAnsi="Times New Roman" w:cs="Times New Roman"/>
        </w:rPr>
        <w:t xml:space="preserve"> sur son territoire</w:t>
      </w:r>
      <w:r w:rsidR="004858F1">
        <w:rPr>
          <w:rFonts w:ascii="Times New Roman" w:hAnsi="Times New Roman" w:cs="Times New Roman"/>
        </w:rPr>
        <w:t xml:space="preserve"> (</w:t>
      </w:r>
      <w:r w:rsidR="005C006D">
        <w:rPr>
          <w:rFonts w:ascii="Times New Roman" w:hAnsi="Times New Roman" w:cs="Times New Roman"/>
        </w:rPr>
        <w:t xml:space="preserve">2008 : </w:t>
      </w:r>
      <w:r w:rsidR="002040D0">
        <w:rPr>
          <w:rFonts w:ascii="Times New Roman" w:hAnsi="Times New Roman" w:cs="Times New Roman"/>
        </w:rPr>
        <w:t>29-30)</w:t>
      </w:r>
      <w:r w:rsidR="00BD3C9E">
        <w:rPr>
          <w:rFonts w:ascii="Times New Roman" w:hAnsi="Times New Roman" w:cs="Times New Roman"/>
        </w:rPr>
        <w:t>.</w:t>
      </w:r>
      <w:r w:rsidR="004858F1">
        <w:rPr>
          <w:rFonts w:ascii="Times New Roman" w:hAnsi="Times New Roman" w:cs="Times New Roman"/>
        </w:rPr>
        <w:t xml:space="preserve"> </w:t>
      </w:r>
      <w:r w:rsidR="0093457A">
        <w:rPr>
          <w:rFonts w:ascii="Times New Roman" w:hAnsi="Times New Roman" w:cs="Times New Roman"/>
        </w:rPr>
        <w:t>L</w:t>
      </w:r>
      <w:r w:rsidR="004858F1">
        <w:rPr>
          <w:rFonts w:ascii="Times New Roman" w:hAnsi="Times New Roman" w:cs="Times New Roman"/>
        </w:rPr>
        <w:t>a Charte de l’Énergie, seul accord sur l’investissement signé</w:t>
      </w:r>
      <w:r w:rsidR="003811EC">
        <w:rPr>
          <w:rFonts w:ascii="Times New Roman" w:hAnsi="Times New Roman" w:cs="Times New Roman"/>
        </w:rPr>
        <w:t xml:space="preserve"> par l’Union européenne avant l’entrée en vigueur du</w:t>
      </w:r>
      <w:r w:rsidR="004858F1">
        <w:rPr>
          <w:rFonts w:ascii="Times New Roman" w:hAnsi="Times New Roman" w:cs="Times New Roman"/>
        </w:rPr>
        <w:t xml:space="preserve"> Traité de Lisbonne, contient </w:t>
      </w:r>
      <w:r w:rsidR="00E37341">
        <w:rPr>
          <w:rFonts w:ascii="Times New Roman" w:hAnsi="Times New Roman" w:cs="Times New Roman"/>
        </w:rPr>
        <w:t xml:space="preserve">notamment </w:t>
      </w:r>
      <w:r w:rsidR="004858F1">
        <w:rPr>
          <w:rFonts w:ascii="Times New Roman" w:hAnsi="Times New Roman" w:cs="Times New Roman"/>
        </w:rPr>
        <w:t>une telle clause</w:t>
      </w:r>
      <w:r w:rsidR="0093457A">
        <w:rPr>
          <w:rFonts w:ascii="Times New Roman" w:hAnsi="Times New Roman" w:cs="Times New Roman"/>
        </w:rPr>
        <w:t xml:space="preserve"> (art. 17)</w:t>
      </w:r>
      <w:r w:rsidR="004858F1">
        <w:rPr>
          <w:rFonts w:ascii="Times New Roman" w:hAnsi="Times New Roman" w:cs="Times New Roman"/>
        </w:rPr>
        <w:t>.</w:t>
      </w:r>
      <w:r w:rsidR="003811EC">
        <w:rPr>
          <w:rFonts w:ascii="Times New Roman" w:hAnsi="Times New Roman" w:cs="Times New Roman"/>
        </w:rPr>
        <w:t xml:space="preserve"> </w:t>
      </w:r>
      <w:r w:rsidR="00852FC8">
        <w:rPr>
          <w:rFonts w:ascii="Times New Roman" w:hAnsi="Times New Roman" w:cs="Times New Roman"/>
        </w:rPr>
        <w:t>En considérant</w:t>
      </w:r>
      <w:r w:rsidR="003811EC">
        <w:rPr>
          <w:rFonts w:ascii="Times New Roman" w:hAnsi="Times New Roman" w:cs="Times New Roman"/>
        </w:rPr>
        <w:t xml:space="preserve"> ces informations, </w:t>
      </w:r>
      <w:r w:rsidR="005C006D">
        <w:rPr>
          <w:rFonts w:ascii="Times New Roman" w:hAnsi="Times New Roman" w:cs="Times New Roman"/>
        </w:rPr>
        <w:t>on</w:t>
      </w:r>
      <w:r w:rsidR="003811EC">
        <w:rPr>
          <w:rFonts w:ascii="Times New Roman" w:hAnsi="Times New Roman" w:cs="Times New Roman"/>
        </w:rPr>
        <w:t xml:space="preserve"> aurait</w:t>
      </w:r>
      <w:r w:rsidR="0093457A">
        <w:rPr>
          <w:rFonts w:ascii="Times New Roman" w:hAnsi="Times New Roman" w:cs="Times New Roman"/>
        </w:rPr>
        <w:t xml:space="preserve"> </w:t>
      </w:r>
      <w:r w:rsidR="003811EC">
        <w:rPr>
          <w:rFonts w:ascii="Times New Roman" w:hAnsi="Times New Roman" w:cs="Times New Roman"/>
        </w:rPr>
        <w:t xml:space="preserve">pu </w:t>
      </w:r>
      <w:r w:rsidR="005C006D">
        <w:rPr>
          <w:rFonts w:ascii="Times New Roman" w:hAnsi="Times New Roman" w:cs="Times New Roman"/>
        </w:rPr>
        <w:t>croire</w:t>
      </w:r>
      <w:r w:rsidR="003811EC">
        <w:rPr>
          <w:rFonts w:ascii="Times New Roman" w:hAnsi="Times New Roman" w:cs="Times New Roman"/>
        </w:rPr>
        <w:t xml:space="preserve"> que la Commission europ</w:t>
      </w:r>
      <w:r w:rsidR="0093457A">
        <w:rPr>
          <w:rFonts w:ascii="Times New Roman" w:hAnsi="Times New Roman" w:cs="Times New Roman"/>
        </w:rPr>
        <w:t xml:space="preserve">éenne copierait cette approche. Toutefois, </w:t>
      </w:r>
      <w:r w:rsidR="003811EC">
        <w:rPr>
          <w:rFonts w:ascii="Times New Roman" w:hAnsi="Times New Roman" w:cs="Times New Roman"/>
        </w:rPr>
        <w:t>dans l’AECG et l’ALEUES</w:t>
      </w:r>
      <w:r w:rsidR="0093457A">
        <w:rPr>
          <w:rFonts w:ascii="Times New Roman" w:hAnsi="Times New Roman" w:cs="Times New Roman"/>
        </w:rPr>
        <w:t xml:space="preserve">, c’est plutôt la définition du terme </w:t>
      </w:r>
      <w:r w:rsidR="0093457A">
        <w:rPr>
          <w:rFonts w:ascii="Times New Roman" w:hAnsi="Times New Roman" w:cs="Times New Roman"/>
          <w:i/>
        </w:rPr>
        <w:t xml:space="preserve">entreprise d’une Partie </w:t>
      </w:r>
      <w:r w:rsidR="0093457A">
        <w:rPr>
          <w:rFonts w:ascii="Times New Roman" w:hAnsi="Times New Roman" w:cs="Times New Roman"/>
        </w:rPr>
        <w:t xml:space="preserve">qui indique qu’une personne morale doit </w:t>
      </w:r>
      <w:r w:rsidR="00636B4D">
        <w:rPr>
          <w:rFonts w:ascii="Times New Roman" w:hAnsi="Times New Roman" w:cs="Times New Roman"/>
        </w:rPr>
        <w:t>être constituée sur le territoire d’un État où elle entretient</w:t>
      </w:r>
      <w:r w:rsidR="0093457A">
        <w:rPr>
          <w:rFonts w:ascii="Times New Roman" w:hAnsi="Times New Roman" w:cs="Times New Roman"/>
        </w:rPr>
        <w:t xml:space="preserve"> des activités substantielles sur le territoire d’un État pour en avoir la</w:t>
      </w:r>
      <w:r w:rsidR="00852FC8">
        <w:rPr>
          <w:rFonts w:ascii="Times New Roman" w:hAnsi="Times New Roman" w:cs="Times New Roman"/>
        </w:rPr>
        <w:t xml:space="preserve"> nationalité. Dès lors, il peut être conclu que</w:t>
      </w:r>
      <w:r w:rsidR="0093457A">
        <w:rPr>
          <w:rFonts w:ascii="Times New Roman" w:hAnsi="Times New Roman" w:cs="Times New Roman"/>
        </w:rPr>
        <w:t xml:space="preserve"> la Commission européenne s’est davantage inspirée de </w:t>
      </w:r>
      <w:r w:rsidR="00940B74">
        <w:rPr>
          <w:rFonts w:ascii="Times New Roman" w:hAnsi="Times New Roman" w:cs="Times New Roman"/>
        </w:rPr>
        <w:t>l’article</w:t>
      </w:r>
      <w:r w:rsidR="0093457A">
        <w:rPr>
          <w:rFonts w:ascii="Times New Roman" w:hAnsi="Times New Roman" w:cs="Times New Roman"/>
        </w:rPr>
        <w:t xml:space="preserve"> XXVIII (m) de l’Accord général</w:t>
      </w:r>
      <w:r w:rsidR="00940B74">
        <w:rPr>
          <w:rFonts w:ascii="Times New Roman" w:hAnsi="Times New Roman" w:cs="Times New Roman"/>
        </w:rPr>
        <w:t xml:space="preserve"> sur le commerce de services (AGCS) qui </w:t>
      </w:r>
      <w:r w:rsidR="004C3DD9">
        <w:rPr>
          <w:rFonts w:ascii="Times New Roman" w:hAnsi="Times New Roman" w:cs="Times New Roman"/>
        </w:rPr>
        <w:t>fonctionne de la même façon</w:t>
      </w:r>
      <w:r w:rsidR="000C12EE">
        <w:rPr>
          <w:rFonts w:ascii="Times New Roman" w:hAnsi="Times New Roman" w:cs="Times New Roman"/>
        </w:rPr>
        <w:t xml:space="preserve"> (</w:t>
      </w:r>
      <w:proofErr w:type="spellStart"/>
      <w:r w:rsidR="000C12EE">
        <w:rPr>
          <w:rFonts w:ascii="Times New Roman" w:hAnsi="Times New Roman" w:cs="Times New Roman"/>
        </w:rPr>
        <w:t>Hoffmeister</w:t>
      </w:r>
      <w:proofErr w:type="spellEnd"/>
      <w:r w:rsidR="000C12EE">
        <w:rPr>
          <w:rFonts w:ascii="Times New Roman" w:hAnsi="Times New Roman" w:cs="Times New Roman"/>
        </w:rPr>
        <w:t xml:space="preserve"> et </w:t>
      </w:r>
      <w:proofErr w:type="spellStart"/>
      <w:r w:rsidR="000C12EE">
        <w:rPr>
          <w:rFonts w:ascii="Times New Roman" w:hAnsi="Times New Roman" w:cs="Times New Roman"/>
        </w:rPr>
        <w:t>Alexandru</w:t>
      </w:r>
      <w:proofErr w:type="spellEnd"/>
      <w:r w:rsidR="00940B74">
        <w:rPr>
          <w:rFonts w:ascii="Times New Roman" w:hAnsi="Times New Roman" w:cs="Times New Roman"/>
        </w:rPr>
        <w:t xml:space="preserve"> 2014 : 384-385)</w:t>
      </w:r>
      <w:r w:rsidR="0093457A">
        <w:rPr>
          <w:rFonts w:ascii="Times New Roman" w:hAnsi="Times New Roman" w:cs="Times New Roman"/>
        </w:rPr>
        <w:t xml:space="preserve">. </w:t>
      </w:r>
      <w:r w:rsidR="00636B4D">
        <w:rPr>
          <w:rFonts w:ascii="Times New Roman" w:hAnsi="Times New Roman" w:cs="Times New Roman"/>
        </w:rPr>
        <w:t xml:space="preserve">La définition d’une personne morale d’un autre Membre y est en effet pratiquement identique : </w:t>
      </w:r>
    </w:p>
    <w:p w14:paraId="4D43C259" w14:textId="77777777" w:rsidR="00BA667A" w:rsidRPr="00BA667A" w:rsidRDefault="00BA667A" w:rsidP="00BA667A">
      <w:pPr>
        <w:widowControl w:val="0"/>
        <w:autoSpaceDE w:val="0"/>
        <w:autoSpaceDN w:val="0"/>
        <w:adjustRightInd w:val="0"/>
        <w:spacing w:after="120"/>
        <w:ind w:left="708" w:right="709"/>
        <w:jc w:val="both"/>
        <w:rPr>
          <w:rFonts w:ascii="Times New Roman" w:hAnsi="Times New Roman" w:cs="Times New Roman"/>
          <w:sz w:val="20"/>
          <w:szCs w:val="20"/>
          <w:lang w:val="fr-FR"/>
        </w:rPr>
      </w:pPr>
      <w:r w:rsidRPr="00BA667A">
        <w:rPr>
          <w:rFonts w:ascii="Times New Roman" w:hAnsi="Times New Roman" w:cs="Times New Roman"/>
          <w:sz w:val="20"/>
          <w:szCs w:val="20"/>
          <w:lang w:val="fr-FR"/>
        </w:rPr>
        <w:t>m)      l'expression “personne morale d'un autre Membre” s'entend d'une personne morale:</w:t>
      </w:r>
    </w:p>
    <w:p w14:paraId="05180D2C" w14:textId="57D924BC" w:rsidR="00636B4D" w:rsidRPr="00BA667A" w:rsidRDefault="00BA667A" w:rsidP="00BA667A">
      <w:pPr>
        <w:widowControl w:val="0"/>
        <w:autoSpaceDE w:val="0"/>
        <w:autoSpaceDN w:val="0"/>
        <w:adjustRightInd w:val="0"/>
        <w:spacing w:after="120"/>
        <w:ind w:left="1416" w:right="709"/>
        <w:jc w:val="both"/>
        <w:rPr>
          <w:rFonts w:ascii="Times New Roman" w:hAnsi="Times New Roman" w:cs="Times New Roman"/>
          <w:sz w:val="20"/>
          <w:szCs w:val="20"/>
          <w:lang w:val="fr-FR"/>
        </w:rPr>
      </w:pPr>
      <w:r w:rsidRPr="00BA667A">
        <w:rPr>
          <w:rFonts w:ascii="Times New Roman" w:hAnsi="Times New Roman" w:cs="Times New Roman"/>
          <w:sz w:val="20"/>
          <w:szCs w:val="20"/>
          <w:lang w:val="fr-FR"/>
        </w:rPr>
        <w:t>i) qui est constituée ou autrement organisée conformément à la législation de cet autre Membre et qui effectue d'importantes opérations commerciales sur le territoire de ce Membre ou de tout autre Membre; </w:t>
      </w:r>
      <w:r>
        <w:rPr>
          <w:rFonts w:ascii="Times New Roman" w:hAnsi="Times New Roman" w:cs="Times New Roman"/>
          <w:sz w:val="20"/>
          <w:szCs w:val="20"/>
          <w:lang w:val="fr-FR"/>
        </w:rPr>
        <w:t>(art. XXVIII (m))</w:t>
      </w:r>
    </w:p>
    <w:p w14:paraId="6E832422" w14:textId="17FAAE74" w:rsidR="00BA667A" w:rsidRDefault="00940B74" w:rsidP="00BA43F7">
      <w:pPr>
        <w:spacing w:before="120" w:after="120" w:line="360" w:lineRule="auto"/>
        <w:jc w:val="both"/>
        <w:rPr>
          <w:rFonts w:ascii="Times New Roman" w:hAnsi="Times New Roman" w:cs="Times New Roman"/>
        </w:rPr>
      </w:pPr>
      <w:r>
        <w:rPr>
          <w:rFonts w:ascii="Times New Roman" w:hAnsi="Times New Roman" w:cs="Times New Roman"/>
        </w:rPr>
        <w:t>Un dernier point d’intérêt en lien avec la définition d’un investisseur</w:t>
      </w:r>
      <w:r w:rsidR="00852FC8">
        <w:rPr>
          <w:rFonts w:ascii="Times New Roman" w:hAnsi="Times New Roman" w:cs="Times New Roman"/>
        </w:rPr>
        <w:t> :</w:t>
      </w:r>
      <w:r>
        <w:rPr>
          <w:rFonts w:ascii="Times New Roman" w:hAnsi="Times New Roman" w:cs="Times New Roman"/>
        </w:rPr>
        <w:t xml:space="preserve"> </w:t>
      </w:r>
      <w:r w:rsidR="005901F0">
        <w:rPr>
          <w:rFonts w:ascii="Times New Roman" w:hAnsi="Times New Roman" w:cs="Times New Roman"/>
        </w:rPr>
        <w:t>la Commission européenne a accepté</w:t>
      </w:r>
      <w:r w:rsidR="00852FC8">
        <w:rPr>
          <w:rFonts w:ascii="Times New Roman" w:hAnsi="Times New Roman" w:cs="Times New Roman"/>
        </w:rPr>
        <w:t>,</w:t>
      </w:r>
      <w:r w:rsidR="005901F0">
        <w:rPr>
          <w:rFonts w:ascii="Times New Roman" w:hAnsi="Times New Roman" w:cs="Times New Roman"/>
        </w:rPr>
        <w:t xml:space="preserve"> selon les termes de l’AECG et de l’ALEUES</w:t>
      </w:r>
      <w:r w:rsidR="00852FC8">
        <w:rPr>
          <w:rFonts w:ascii="Times New Roman" w:hAnsi="Times New Roman" w:cs="Times New Roman"/>
        </w:rPr>
        <w:t>,</w:t>
      </w:r>
      <w:r w:rsidR="005901F0">
        <w:rPr>
          <w:rFonts w:ascii="Times New Roman" w:hAnsi="Times New Roman" w:cs="Times New Roman"/>
        </w:rPr>
        <w:t xml:space="preserve"> qu’une personne morale puisse être possédée et contrôlée par un gouvernement. </w:t>
      </w:r>
      <w:r w:rsidR="00852FC8">
        <w:rPr>
          <w:rFonts w:ascii="Times New Roman" w:hAnsi="Times New Roman" w:cs="Times New Roman"/>
        </w:rPr>
        <w:t xml:space="preserve">Sachant qu’elle négocie parallèlement avec la Chine, pays où se situent le plus important fonds souverain et plusieurs importantes sociétés d’État, </w:t>
      </w:r>
      <w:r w:rsidR="00BA667A">
        <w:rPr>
          <w:rFonts w:ascii="Times New Roman" w:hAnsi="Times New Roman" w:cs="Times New Roman"/>
        </w:rPr>
        <w:t xml:space="preserve">on </w:t>
      </w:r>
      <w:r w:rsidR="00852FC8">
        <w:rPr>
          <w:rFonts w:ascii="Times New Roman" w:hAnsi="Times New Roman" w:cs="Times New Roman"/>
        </w:rPr>
        <w:t>aurait pu</w:t>
      </w:r>
      <w:r w:rsidR="00BA667A">
        <w:rPr>
          <w:rFonts w:ascii="Times New Roman" w:hAnsi="Times New Roman" w:cs="Times New Roman"/>
        </w:rPr>
        <w:t xml:space="preserve"> croire</w:t>
      </w:r>
      <w:r w:rsidR="00852FC8">
        <w:rPr>
          <w:rFonts w:ascii="Times New Roman" w:hAnsi="Times New Roman" w:cs="Times New Roman"/>
        </w:rPr>
        <w:t xml:space="preserve"> que les négociateurs européens aient à l’esprit d’exclure</w:t>
      </w:r>
      <w:r w:rsidR="005901F0">
        <w:rPr>
          <w:rFonts w:ascii="Times New Roman" w:hAnsi="Times New Roman" w:cs="Times New Roman"/>
        </w:rPr>
        <w:t xml:space="preserve"> </w:t>
      </w:r>
      <w:r w:rsidR="00852FC8">
        <w:rPr>
          <w:rFonts w:ascii="Times New Roman" w:hAnsi="Times New Roman" w:cs="Times New Roman"/>
        </w:rPr>
        <w:t xml:space="preserve">ces entreprises parfois jugées comme anticoncurrentielles </w:t>
      </w:r>
      <w:r w:rsidR="000C12EE">
        <w:rPr>
          <w:rFonts w:ascii="Times New Roman" w:hAnsi="Times New Roman" w:cs="Times New Roman"/>
        </w:rPr>
        <w:t>(</w:t>
      </w:r>
      <w:proofErr w:type="spellStart"/>
      <w:r w:rsidR="000C12EE">
        <w:rPr>
          <w:rFonts w:ascii="Times New Roman" w:hAnsi="Times New Roman" w:cs="Times New Roman"/>
        </w:rPr>
        <w:t>Bungenberg</w:t>
      </w:r>
      <w:proofErr w:type="spellEnd"/>
      <w:r w:rsidR="00D91B79">
        <w:rPr>
          <w:rFonts w:ascii="Times New Roman" w:hAnsi="Times New Roman" w:cs="Times New Roman"/>
        </w:rPr>
        <w:t xml:space="preserve"> 2014 : 411). Des inquiétudes </w:t>
      </w:r>
      <w:r w:rsidR="009E3C25">
        <w:rPr>
          <w:rFonts w:ascii="Times New Roman" w:hAnsi="Times New Roman" w:cs="Times New Roman"/>
        </w:rPr>
        <w:t xml:space="preserve">avaient </w:t>
      </w:r>
      <w:r w:rsidR="00D91B79">
        <w:rPr>
          <w:rFonts w:ascii="Times New Roman" w:hAnsi="Times New Roman" w:cs="Times New Roman"/>
        </w:rPr>
        <w:t xml:space="preserve">d’ailleurs déjà été évoquées lorsqu’une société d’État chinoise avait déposé une soumission </w:t>
      </w:r>
      <w:r w:rsidR="009E3C25">
        <w:rPr>
          <w:rFonts w:ascii="Times New Roman" w:hAnsi="Times New Roman" w:cs="Times New Roman"/>
        </w:rPr>
        <w:t xml:space="preserve">pour obtenir un contrat public en Pologne d’une valeur de </w:t>
      </w:r>
      <w:r w:rsidR="00D91B79">
        <w:rPr>
          <w:rFonts w:ascii="Times New Roman" w:hAnsi="Times New Roman" w:cs="Times New Roman"/>
        </w:rPr>
        <w:t xml:space="preserve">près de la moitié </w:t>
      </w:r>
      <w:r w:rsidR="009E3C25">
        <w:rPr>
          <w:rFonts w:ascii="Times New Roman" w:hAnsi="Times New Roman" w:cs="Times New Roman"/>
        </w:rPr>
        <w:t xml:space="preserve">inférieure à celle évaluée </w:t>
      </w:r>
      <w:r w:rsidR="000C12EE">
        <w:rPr>
          <w:rFonts w:ascii="Times New Roman" w:hAnsi="Times New Roman" w:cs="Times New Roman"/>
        </w:rPr>
        <w:t>(Shan et Zhang</w:t>
      </w:r>
      <w:r w:rsidR="00D91B79">
        <w:rPr>
          <w:rFonts w:ascii="Times New Roman" w:hAnsi="Times New Roman" w:cs="Times New Roman"/>
        </w:rPr>
        <w:t xml:space="preserve"> 2012 : 111). </w:t>
      </w:r>
      <w:r w:rsidR="00BA667A">
        <w:rPr>
          <w:rFonts w:ascii="Times New Roman" w:hAnsi="Times New Roman" w:cs="Times New Roman"/>
        </w:rPr>
        <w:t>La Commission aurait notamment pu inclure une référence au concept de « neutralité concurrentielle » développé par l’OCDE qu’elle affirmait soutenir avec les États-Unis en 2012 (</w:t>
      </w:r>
      <w:proofErr w:type="spellStart"/>
      <w:r w:rsidR="00BA667A">
        <w:rPr>
          <w:rFonts w:ascii="Times New Roman" w:hAnsi="Times New Roman" w:cs="Times New Roman"/>
        </w:rPr>
        <w:t>Bungenberg</w:t>
      </w:r>
      <w:proofErr w:type="spellEnd"/>
      <w:r w:rsidR="00BA667A">
        <w:rPr>
          <w:rFonts w:ascii="Times New Roman" w:hAnsi="Times New Roman" w:cs="Times New Roman"/>
        </w:rPr>
        <w:t xml:space="preserve"> 2014 : 412).</w:t>
      </w:r>
      <w:r w:rsidR="000815E4">
        <w:rPr>
          <w:rFonts w:ascii="Times New Roman" w:hAnsi="Times New Roman" w:cs="Times New Roman"/>
        </w:rPr>
        <w:t xml:space="preserve"> </w:t>
      </w:r>
      <w:r w:rsidR="00866311">
        <w:rPr>
          <w:rFonts w:ascii="Times New Roman" w:hAnsi="Times New Roman" w:cs="Times New Roman"/>
        </w:rPr>
        <w:t xml:space="preserve">Une telle référence est pour l’instant absente, mais le chapitre 20 de l’AECG sur les sociétés d’État précise que ces dernières doivent agir selon des considérations commerciales (art. 5).  Au final, le résultat est donc peut-être le même. Il est par </w:t>
      </w:r>
      <w:r w:rsidR="00866311">
        <w:rPr>
          <w:rFonts w:ascii="Times New Roman" w:hAnsi="Times New Roman" w:cs="Times New Roman"/>
        </w:rPr>
        <w:lastRenderedPageBreak/>
        <w:t xml:space="preserve">contre intéressant de noter que </w:t>
      </w:r>
      <w:r w:rsidR="000815E4">
        <w:rPr>
          <w:rFonts w:ascii="Times New Roman" w:hAnsi="Times New Roman" w:cs="Times New Roman"/>
        </w:rPr>
        <w:t>l</w:t>
      </w:r>
      <w:r w:rsidR="00BA667A">
        <w:rPr>
          <w:rFonts w:ascii="Times New Roman" w:hAnsi="Times New Roman" w:cs="Times New Roman"/>
        </w:rPr>
        <w:t xml:space="preserve">e chapitre 20 du texte récemment publié du Partenariat </w:t>
      </w:r>
      <w:proofErr w:type="spellStart"/>
      <w:r w:rsidR="00BA667A">
        <w:rPr>
          <w:rFonts w:ascii="Times New Roman" w:hAnsi="Times New Roman" w:cs="Times New Roman"/>
        </w:rPr>
        <w:t>transpacifique</w:t>
      </w:r>
      <w:proofErr w:type="spellEnd"/>
      <w:r w:rsidR="00BA667A">
        <w:rPr>
          <w:rFonts w:ascii="Times New Roman" w:hAnsi="Times New Roman" w:cs="Times New Roman"/>
        </w:rPr>
        <w:t xml:space="preserve"> contient une référence au concept de neutralité concurrentielle (art. 17.11). </w:t>
      </w:r>
    </w:p>
    <w:p w14:paraId="69B7852B" w14:textId="262F32FE" w:rsidR="006C35A3" w:rsidRPr="009E3C25" w:rsidRDefault="009E3C25" w:rsidP="00BA43F7">
      <w:pPr>
        <w:spacing w:before="120" w:after="120" w:line="360" w:lineRule="auto"/>
        <w:jc w:val="both"/>
        <w:rPr>
          <w:rFonts w:ascii="Times New Roman" w:hAnsi="Times New Roman" w:cs="Times New Roman"/>
        </w:rPr>
      </w:pPr>
      <w:r>
        <w:rPr>
          <w:rFonts w:ascii="Times New Roman" w:hAnsi="Times New Roman" w:cs="Times New Roman"/>
        </w:rPr>
        <w:t xml:space="preserve">Quant à la définition d’un investissement, plusieurs </w:t>
      </w:r>
      <w:r w:rsidR="005127F3">
        <w:rPr>
          <w:rFonts w:ascii="Times New Roman" w:hAnsi="Times New Roman" w:cs="Times New Roman"/>
        </w:rPr>
        <w:t xml:space="preserve">éléments </w:t>
      </w:r>
      <w:r>
        <w:rPr>
          <w:rFonts w:ascii="Times New Roman" w:hAnsi="Times New Roman" w:cs="Times New Roman"/>
        </w:rPr>
        <w:t>doivent également être mentionnés</w:t>
      </w:r>
      <w:r w:rsidR="005127F3">
        <w:rPr>
          <w:rFonts w:ascii="Times New Roman" w:hAnsi="Times New Roman" w:cs="Times New Roman"/>
        </w:rPr>
        <w:t xml:space="preserve">. </w:t>
      </w:r>
      <w:r w:rsidR="004069BF">
        <w:rPr>
          <w:rFonts w:ascii="Times New Roman" w:hAnsi="Times New Roman" w:cs="Times New Roman"/>
        </w:rPr>
        <w:t>Premièrement, la Commission européenne</w:t>
      </w:r>
      <w:r>
        <w:rPr>
          <w:rFonts w:ascii="Times New Roman" w:hAnsi="Times New Roman" w:cs="Times New Roman"/>
        </w:rPr>
        <w:t>, comme les États-Unis et le Canada avant elle,</w:t>
      </w:r>
      <w:r w:rsidR="004069BF">
        <w:rPr>
          <w:rFonts w:ascii="Times New Roman" w:hAnsi="Times New Roman" w:cs="Times New Roman"/>
        </w:rPr>
        <w:t xml:space="preserve"> fait sienne la </w:t>
      </w:r>
      <w:r w:rsidR="004069BF">
        <w:rPr>
          <w:rFonts w:ascii="Times New Roman" w:hAnsi="Times New Roman" w:cs="Times New Roman"/>
          <w:i/>
        </w:rPr>
        <w:t>double-</w:t>
      </w:r>
      <w:proofErr w:type="spellStart"/>
      <w:r w:rsidR="004069BF">
        <w:rPr>
          <w:rFonts w:ascii="Times New Roman" w:hAnsi="Times New Roman" w:cs="Times New Roman"/>
          <w:i/>
        </w:rPr>
        <w:t>barreled</w:t>
      </w:r>
      <w:proofErr w:type="spellEnd"/>
      <w:r w:rsidR="004069BF">
        <w:rPr>
          <w:rFonts w:ascii="Times New Roman" w:hAnsi="Times New Roman" w:cs="Times New Roman"/>
          <w:i/>
        </w:rPr>
        <w:t xml:space="preserve"> </w:t>
      </w:r>
      <w:proofErr w:type="spellStart"/>
      <w:r w:rsidR="004069BF">
        <w:rPr>
          <w:rFonts w:ascii="Times New Roman" w:hAnsi="Times New Roman" w:cs="Times New Roman"/>
          <w:i/>
        </w:rPr>
        <w:t>approach</w:t>
      </w:r>
      <w:proofErr w:type="spellEnd"/>
      <w:r w:rsidR="004069BF">
        <w:rPr>
          <w:rFonts w:ascii="Times New Roman" w:hAnsi="Times New Roman" w:cs="Times New Roman"/>
          <w:i/>
        </w:rPr>
        <w:t xml:space="preserve"> </w:t>
      </w:r>
      <w:r w:rsidR="004069BF">
        <w:rPr>
          <w:rFonts w:ascii="Times New Roman" w:hAnsi="Times New Roman" w:cs="Times New Roman"/>
        </w:rPr>
        <w:t>des tribunaux CIRDI</w:t>
      </w:r>
      <w:r w:rsidR="0085553E">
        <w:rPr>
          <w:rFonts w:ascii="Times New Roman" w:hAnsi="Times New Roman" w:cs="Times New Roman"/>
        </w:rPr>
        <w:t xml:space="preserve">. </w:t>
      </w:r>
      <w:r>
        <w:rPr>
          <w:rFonts w:ascii="Times New Roman" w:hAnsi="Times New Roman" w:cs="Times New Roman"/>
        </w:rPr>
        <w:t xml:space="preserve">Cela signifie donc qu’elle définit en deux temps le terme investissement. D’une part, certaines </w:t>
      </w:r>
      <w:r w:rsidR="00303197">
        <w:rPr>
          <w:rFonts w:ascii="Times New Roman" w:hAnsi="Times New Roman" w:cs="Times New Roman"/>
        </w:rPr>
        <w:t>caractéristiques clés</w:t>
      </w:r>
      <w:r>
        <w:rPr>
          <w:rFonts w:ascii="Times New Roman" w:hAnsi="Times New Roman" w:cs="Times New Roman"/>
        </w:rPr>
        <w:t xml:space="preserve"> doivent être présentes</w:t>
      </w:r>
      <w:r w:rsidR="00303197">
        <w:rPr>
          <w:rFonts w:ascii="Times New Roman" w:hAnsi="Times New Roman" w:cs="Times New Roman"/>
        </w:rPr>
        <w:t xml:space="preserve"> : </w:t>
      </w:r>
      <w:r w:rsidR="00885815">
        <w:rPr>
          <w:rFonts w:ascii="Times New Roman" w:hAnsi="Times New Roman" w:cs="Times New Roman"/>
        </w:rPr>
        <w:t xml:space="preserve">l’existence d’un risque, une certaine durée et l’engagement de capitaux. Elle reprend </w:t>
      </w:r>
      <w:r>
        <w:rPr>
          <w:rFonts w:ascii="Times New Roman" w:hAnsi="Times New Roman" w:cs="Times New Roman"/>
        </w:rPr>
        <w:t>donc</w:t>
      </w:r>
      <w:r w:rsidR="00885815">
        <w:rPr>
          <w:rFonts w:ascii="Times New Roman" w:hAnsi="Times New Roman" w:cs="Times New Roman"/>
        </w:rPr>
        <w:t xml:space="preserve"> trois des quatre critères développés dans l’affaire </w:t>
      </w:r>
      <w:proofErr w:type="spellStart"/>
      <w:r w:rsidR="00885815">
        <w:rPr>
          <w:rFonts w:ascii="Times New Roman" w:hAnsi="Times New Roman" w:cs="Times New Roman"/>
          <w:i/>
        </w:rPr>
        <w:t>Salini</w:t>
      </w:r>
      <w:proofErr w:type="spellEnd"/>
      <w:r w:rsidR="00885815">
        <w:rPr>
          <w:rFonts w:ascii="Times New Roman" w:hAnsi="Times New Roman" w:cs="Times New Roman"/>
          <w:i/>
        </w:rPr>
        <w:t xml:space="preserve"> </w:t>
      </w:r>
      <w:r w:rsidR="000C12EE">
        <w:rPr>
          <w:rFonts w:ascii="Times New Roman" w:hAnsi="Times New Roman" w:cs="Times New Roman"/>
        </w:rPr>
        <w:t>(</w:t>
      </w:r>
      <w:proofErr w:type="spellStart"/>
      <w:r w:rsidR="000C12EE">
        <w:rPr>
          <w:rFonts w:ascii="Times New Roman" w:hAnsi="Times New Roman" w:cs="Times New Roman"/>
        </w:rPr>
        <w:t>Bungenberg</w:t>
      </w:r>
      <w:proofErr w:type="spellEnd"/>
      <w:r w:rsidR="00885815">
        <w:rPr>
          <w:rFonts w:ascii="Times New Roman" w:hAnsi="Times New Roman" w:cs="Times New Roman"/>
        </w:rPr>
        <w:t xml:space="preserve"> 2014 : 415-416). </w:t>
      </w:r>
      <w:r>
        <w:rPr>
          <w:rFonts w:ascii="Times New Roman" w:hAnsi="Times New Roman" w:cs="Times New Roman"/>
        </w:rPr>
        <w:t>Ce faisant, l</w:t>
      </w:r>
      <w:r w:rsidR="00885815">
        <w:rPr>
          <w:rFonts w:ascii="Times New Roman" w:hAnsi="Times New Roman" w:cs="Times New Roman"/>
        </w:rPr>
        <w:t xml:space="preserve">a Commission européenne incorpore la </w:t>
      </w:r>
      <w:r>
        <w:rPr>
          <w:rFonts w:ascii="Times New Roman" w:hAnsi="Times New Roman" w:cs="Times New Roman"/>
        </w:rPr>
        <w:t xml:space="preserve">plus récente </w:t>
      </w:r>
      <w:r w:rsidR="00885815">
        <w:rPr>
          <w:rFonts w:ascii="Times New Roman" w:hAnsi="Times New Roman" w:cs="Times New Roman"/>
        </w:rPr>
        <w:t>j</w:t>
      </w:r>
      <w:r w:rsidR="00EF38C5">
        <w:rPr>
          <w:rFonts w:ascii="Times New Roman" w:hAnsi="Times New Roman" w:cs="Times New Roman"/>
        </w:rPr>
        <w:t>urisprudence du CIRDI qui avai</w:t>
      </w:r>
      <w:r w:rsidR="00885815">
        <w:rPr>
          <w:rFonts w:ascii="Times New Roman" w:hAnsi="Times New Roman" w:cs="Times New Roman"/>
        </w:rPr>
        <w:t>t tendance à exclure le</w:t>
      </w:r>
      <w:r>
        <w:rPr>
          <w:rFonts w:ascii="Times New Roman" w:hAnsi="Times New Roman" w:cs="Times New Roman"/>
        </w:rPr>
        <w:t xml:space="preserve"> plus controversé</w:t>
      </w:r>
      <w:r w:rsidR="00885815">
        <w:rPr>
          <w:rFonts w:ascii="Times New Roman" w:hAnsi="Times New Roman" w:cs="Times New Roman"/>
        </w:rPr>
        <w:t xml:space="preserve"> critère </w:t>
      </w:r>
      <w:r w:rsidR="000C12EE">
        <w:rPr>
          <w:rFonts w:ascii="Times New Roman" w:hAnsi="Times New Roman" w:cs="Times New Roman"/>
        </w:rPr>
        <w:t>du développement (</w:t>
      </w:r>
      <w:proofErr w:type="spellStart"/>
      <w:r w:rsidR="000C12EE">
        <w:rPr>
          <w:rFonts w:ascii="Times New Roman" w:hAnsi="Times New Roman" w:cs="Times New Roman"/>
        </w:rPr>
        <w:t>Reinisch</w:t>
      </w:r>
      <w:proofErr w:type="spellEnd"/>
      <w:r w:rsidR="00885815">
        <w:rPr>
          <w:rFonts w:ascii="Times New Roman" w:hAnsi="Times New Roman" w:cs="Times New Roman"/>
        </w:rPr>
        <w:t xml:space="preserve"> 2014 : 686-687). </w:t>
      </w:r>
      <w:r>
        <w:rPr>
          <w:rFonts w:ascii="Times New Roman" w:hAnsi="Times New Roman" w:cs="Times New Roman"/>
        </w:rPr>
        <w:t>Les tribunaux s</w:t>
      </w:r>
      <w:r w:rsidR="007E0BD0">
        <w:rPr>
          <w:rFonts w:ascii="Times New Roman" w:hAnsi="Times New Roman" w:cs="Times New Roman"/>
        </w:rPr>
        <w:t>ont par ailleurs invités à avoir une approche globale où tous les critères n’ont pas à être systématiquement remplis,</w:t>
      </w:r>
      <w:r>
        <w:rPr>
          <w:rFonts w:ascii="Times New Roman" w:hAnsi="Times New Roman" w:cs="Times New Roman"/>
        </w:rPr>
        <w:t xml:space="preserve"> un</w:t>
      </w:r>
      <w:r w:rsidR="007E0BD0">
        <w:rPr>
          <w:rFonts w:ascii="Times New Roman" w:hAnsi="Times New Roman" w:cs="Times New Roman"/>
        </w:rPr>
        <w:t xml:space="preserve"> point qui avait également amené plusieurs tribunaux à critiquer la décision dans l’affaire</w:t>
      </w:r>
      <w:r w:rsidR="007E0BD0">
        <w:rPr>
          <w:rFonts w:ascii="Times New Roman" w:hAnsi="Times New Roman" w:cs="Times New Roman"/>
          <w:i/>
        </w:rPr>
        <w:t xml:space="preserve"> </w:t>
      </w:r>
      <w:proofErr w:type="spellStart"/>
      <w:r w:rsidR="007E0BD0">
        <w:rPr>
          <w:rFonts w:ascii="Times New Roman" w:hAnsi="Times New Roman" w:cs="Times New Roman"/>
          <w:i/>
        </w:rPr>
        <w:t>Salini</w:t>
      </w:r>
      <w:proofErr w:type="spellEnd"/>
      <w:r>
        <w:rPr>
          <w:rFonts w:ascii="Times New Roman" w:hAnsi="Times New Roman" w:cs="Times New Roman"/>
          <w:i/>
        </w:rPr>
        <w:t xml:space="preserve"> </w:t>
      </w:r>
      <w:r w:rsidR="000C12EE">
        <w:rPr>
          <w:rFonts w:ascii="Times New Roman" w:hAnsi="Times New Roman" w:cs="Times New Roman"/>
        </w:rPr>
        <w:t>(</w:t>
      </w:r>
      <w:proofErr w:type="spellStart"/>
      <w:r w:rsidR="000C12EE">
        <w:rPr>
          <w:rFonts w:ascii="Times New Roman" w:hAnsi="Times New Roman" w:cs="Times New Roman"/>
        </w:rPr>
        <w:t>Hoffmeister</w:t>
      </w:r>
      <w:proofErr w:type="spellEnd"/>
      <w:r w:rsidR="000C12EE">
        <w:rPr>
          <w:rFonts w:ascii="Times New Roman" w:hAnsi="Times New Roman" w:cs="Times New Roman"/>
        </w:rPr>
        <w:t xml:space="preserve"> et </w:t>
      </w:r>
      <w:proofErr w:type="spellStart"/>
      <w:r w:rsidR="000C12EE">
        <w:rPr>
          <w:rFonts w:ascii="Times New Roman" w:hAnsi="Times New Roman" w:cs="Times New Roman"/>
        </w:rPr>
        <w:t>Alexandru</w:t>
      </w:r>
      <w:proofErr w:type="spellEnd"/>
      <w:r>
        <w:rPr>
          <w:rFonts w:ascii="Times New Roman" w:hAnsi="Times New Roman" w:cs="Times New Roman"/>
        </w:rPr>
        <w:t xml:space="preserve"> 2014 : 384).</w:t>
      </w:r>
    </w:p>
    <w:p w14:paraId="51972F9D" w14:textId="151774FC" w:rsidR="00051E62" w:rsidRDefault="00656234" w:rsidP="00BA43F7">
      <w:pPr>
        <w:spacing w:before="120" w:after="120" w:line="360" w:lineRule="auto"/>
        <w:jc w:val="both"/>
        <w:rPr>
          <w:rFonts w:ascii="Times New Roman" w:hAnsi="Times New Roman" w:cs="Times New Roman"/>
        </w:rPr>
      </w:pPr>
      <w:r>
        <w:rPr>
          <w:rFonts w:ascii="Times New Roman" w:hAnsi="Times New Roman" w:cs="Times New Roman"/>
        </w:rPr>
        <w:t>Un investissement est d’autre part défini, comme les traités européens le faisaient traditionnellement, selon une</w:t>
      </w:r>
      <w:r w:rsidR="00885815">
        <w:rPr>
          <w:rFonts w:ascii="Times New Roman" w:hAnsi="Times New Roman" w:cs="Times New Roman"/>
        </w:rPr>
        <w:t xml:space="preserve"> </w:t>
      </w:r>
      <w:r>
        <w:rPr>
          <w:rFonts w:ascii="Times New Roman" w:hAnsi="Times New Roman" w:cs="Times New Roman"/>
        </w:rPr>
        <w:t xml:space="preserve">liste exemplative de formes qu’il peut </w:t>
      </w:r>
      <w:r w:rsidR="00885815">
        <w:rPr>
          <w:rFonts w:ascii="Times New Roman" w:hAnsi="Times New Roman" w:cs="Times New Roman"/>
        </w:rPr>
        <w:t>prendre. Ici, il est étonnant que la Commission européenne continue d’inclure</w:t>
      </w:r>
      <w:r w:rsidR="003017CF">
        <w:rPr>
          <w:rFonts w:ascii="Times New Roman" w:hAnsi="Times New Roman" w:cs="Times New Roman"/>
        </w:rPr>
        <w:t xml:space="preserve"> les prêts et </w:t>
      </w:r>
      <w:r w:rsidR="003017CF" w:rsidRPr="004B3DD4">
        <w:rPr>
          <w:rFonts w:ascii="Times New Roman" w:hAnsi="Times New Roman" w:cs="Times New Roman"/>
        </w:rPr>
        <w:t>emprunts obligataires,</w:t>
      </w:r>
      <w:r w:rsidR="003017CF">
        <w:rPr>
          <w:rFonts w:ascii="Times New Roman" w:hAnsi="Times New Roman" w:cs="Times New Roman"/>
        </w:rPr>
        <w:t xml:space="preserve"> sans aucune </w:t>
      </w:r>
      <w:r>
        <w:rPr>
          <w:rFonts w:ascii="Times New Roman" w:hAnsi="Times New Roman" w:cs="Times New Roman"/>
        </w:rPr>
        <w:t xml:space="preserve">autre </w:t>
      </w:r>
      <w:r w:rsidR="003017CF">
        <w:rPr>
          <w:rFonts w:ascii="Times New Roman" w:hAnsi="Times New Roman" w:cs="Times New Roman"/>
        </w:rPr>
        <w:t xml:space="preserve">précision, après la décision dans l’affaire </w:t>
      </w:r>
      <w:proofErr w:type="spellStart"/>
      <w:r w:rsidR="003017CF">
        <w:rPr>
          <w:rFonts w:ascii="Times New Roman" w:hAnsi="Times New Roman" w:cs="Times New Roman"/>
          <w:i/>
        </w:rPr>
        <w:t>Abaclat</w:t>
      </w:r>
      <w:proofErr w:type="spellEnd"/>
      <w:r w:rsidR="003017CF">
        <w:rPr>
          <w:rFonts w:ascii="Times New Roman" w:hAnsi="Times New Roman" w:cs="Times New Roman"/>
          <w:i/>
        </w:rPr>
        <w:t xml:space="preserve"> </w:t>
      </w:r>
      <w:r w:rsidR="003017CF">
        <w:rPr>
          <w:rFonts w:ascii="Times New Roman" w:hAnsi="Times New Roman" w:cs="Times New Roman"/>
        </w:rPr>
        <w:t>où l’Argentine s’était vu oblig</w:t>
      </w:r>
      <w:r w:rsidR="00866311">
        <w:rPr>
          <w:rFonts w:ascii="Times New Roman" w:hAnsi="Times New Roman" w:cs="Times New Roman"/>
        </w:rPr>
        <w:t>ée</w:t>
      </w:r>
      <w:r w:rsidR="003017CF">
        <w:rPr>
          <w:rFonts w:ascii="Times New Roman" w:hAnsi="Times New Roman" w:cs="Times New Roman"/>
        </w:rPr>
        <w:t xml:space="preserve"> de dédommager des milliers d’Italiens qui avaient acquis ses obligations sur un marché secondaire</w:t>
      </w:r>
      <w:r w:rsidR="003017CF">
        <w:rPr>
          <w:rFonts w:ascii="Times New Roman" w:hAnsi="Times New Roman" w:cs="Times New Roman"/>
          <w:i/>
        </w:rPr>
        <w:t xml:space="preserve"> </w:t>
      </w:r>
      <w:r w:rsidR="000C12EE">
        <w:rPr>
          <w:rFonts w:ascii="Times New Roman" w:hAnsi="Times New Roman" w:cs="Times New Roman"/>
        </w:rPr>
        <w:t>(</w:t>
      </w:r>
      <w:proofErr w:type="spellStart"/>
      <w:r w:rsidR="000C12EE">
        <w:rPr>
          <w:rFonts w:ascii="Times New Roman" w:hAnsi="Times New Roman" w:cs="Times New Roman"/>
        </w:rPr>
        <w:t>Reinisch</w:t>
      </w:r>
      <w:proofErr w:type="spellEnd"/>
      <w:r w:rsidR="003017CF">
        <w:rPr>
          <w:rFonts w:ascii="Times New Roman" w:hAnsi="Times New Roman" w:cs="Times New Roman"/>
        </w:rPr>
        <w:t xml:space="preserve"> 2014 : 684). </w:t>
      </w:r>
      <w:r w:rsidR="005A3728">
        <w:rPr>
          <w:rFonts w:ascii="Times New Roman" w:hAnsi="Times New Roman" w:cs="Times New Roman"/>
        </w:rPr>
        <w:t xml:space="preserve">Une telle décision vient certes questionner l’étendue que prend maintenant la définition d’investissement </w:t>
      </w:r>
      <w:r w:rsidR="005A3728">
        <w:rPr>
          <w:rFonts w:ascii="Times New Roman" w:hAnsi="Times New Roman" w:cs="Times New Roman"/>
          <w:i/>
        </w:rPr>
        <w:t>direct</w:t>
      </w:r>
      <w:r>
        <w:rPr>
          <w:rFonts w:ascii="Times New Roman" w:hAnsi="Times New Roman" w:cs="Times New Roman"/>
        </w:rPr>
        <w:t xml:space="preserve"> étranger. </w:t>
      </w:r>
      <w:r w:rsidR="00051E62">
        <w:rPr>
          <w:rFonts w:ascii="Times New Roman" w:hAnsi="Times New Roman" w:cs="Times New Roman"/>
        </w:rPr>
        <w:t xml:space="preserve">Il est cependant intéressant qu’une annexe au chapitre sur l’investissement de l’AECG </w:t>
      </w:r>
      <w:proofErr w:type="gramStart"/>
      <w:r>
        <w:rPr>
          <w:rFonts w:ascii="Times New Roman" w:hAnsi="Times New Roman" w:cs="Times New Roman"/>
        </w:rPr>
        <w:t>inclut</w:t>
      </w:r>
      <w:proofErr w:type="gramEnd"/>
      <w:r w:rsidR="00051E62">
        <w:rPr>
          <w:rFonts w:ascii="Times New Roman" w:hAnsi="Times New Roman" w:cs="Times New Roman"/>
        </w:rPr>
        <w:t xml:space="preserve"> une exception pour la restructuration des dettes</w:t>
      </w:r>
      <w:r w:rsidR="00866311">
        <w:rPr>
          <w:rFonts w:ascii="Times New Roman" w:hAnsi="Times New Roman" w:cs="Times New Roman"/>
        </w:rPr>
        <w:t xml:space="preserve"> (Annexe X)</w:t>
      </w:r>
      <w:r w:rsidR="00051E62">
        <w:rPr>
          <w:rFonts w:ascii="Times New Roman" w:hAnsi="Times New Roman" w:cs="Times New Roman"/>
        </w:rPr>
        <w:t xml:space="preserve">. </w:t>
      </w:r>
      <w:r>
        <w:rPr>
          <w:rFonts w:ascii="Times New Roman" w:hAnsi="Times New Roman" w:cs="Times New Roman"/>
        </w:rPr>
        <w:t xml:space="preserve">Cette dernière </w:t>
      </w:r>
      <w:proofErr w:type="spellStart"/>
      <w:r>
        <w:rPr>
          <w:rFonts w:ascii="Times New Roman" w:hAnsi="Times New Roman" w:cs="Times New Roman"/>
        </w:rPr>
        <w:t>apparaît</w:t>
      </w:r>
      <w:proofErr w:type="spellEnd"/>
      <w:r>
        <w:rPr>
          <w:rFonts w:ascii="Times New Roman" w:hAnsi="Times New Roman" w:cs="Times New Roman"/>
        </w:rPr>
        <w:t xml:space="preserve"> en effet nouvelle au sein du droit international des investissements et pourrait</w:t>
      </w:r>
      <w:r w:rsidR="00051E62">
        <w:rPr>
          <w:rFonts w:ascii="Times New Roman" w:hAnsi="Times New Roman" w:cs="Times New Roman"/>
        </w:rPr>
        <w:t xml:space="preserve"> </w:t>
      </w:r>
      <w:r w:rsidR="003F623C">
        <w:rPr>
          <w:rFonts w:ascii="Times New Roman" w:hAnsi="Times New Roman" w:cs="Times New Roman"/>
        </w:rPr>
        <w:t xml:space="preserve">être une réponse à l’affaire </w:t>
      </w:r>
      <w:proofErr w:type="spellStart"/>
      <w:r w:rsidR="003F623C" w:rsidRPr="00656234">
        <w:rPr>
          <w:rFonts w:ascii="Times New Roman" w:hAnsi="Times New Roman" w:cs="Times New Roman"/>
          <w:i/>
        </w:rPr>
        <w:t>Abaclat</w:t>
      </w:r>
      <w:proofErr w:type="spellEnd"/>
      <w:r w:rsidR="003F623C">
        <w:rPr>
          <w:rFonts w:ascii="Times New Roman" w:hAnsi="Times New Roman" w:cs="Times New Roman"/>
        </w:rPr>
        <w:t xml:space="preserve">. </w:t>
      </w:r>
      <w:r w:rsidR="003F623C" w:rsidRPr="004B3DD4">
        <w:rPr>
          <w:rFonts w:ascii="Times New Roman" w:hAnsi="Times New Roman" w:cs="Times New Roman"/>
        </w:rPr>
        <w:t>Bien qu’il soit</w:t>
      </w:r>
      <w:r w:rsidR="00051E62" w:rsidRPr="004B3DD4">
        <w:rPr>
          <w:rFonts w:ascii="Times New Roman" w:hAnsi="Times New Roman" w:cs="Times New Roman"/>
        </w:rPr>
        <w:t xml:space="preserve"> </w:t>
      </w:r>
      <w:r w:rsidR="00EF38C5">
        <w:rPr>
          <w:rFonts w:ascii="Times New Roman" w:hAnsi="Times New Roman" w:cs="Times New Roman"/>
        </w:rPr>
        <w:t>difficile</w:t>
      </w:r>
      <w:r w:rsidR="003F623C" w:rsidRPr="004B3DD4">
        <w:rPr>
          <w:rFonts w:ascii="Times New Roman" w:hAnsi="Times New Roman" w:cs="Times New Roman"/>
        </w:rPr>
        <w:t xml:space="preserve"> </w:t>
      </w:r>
      <w:r w:rsidR="00F8562D" w:rsidRPr="004B3DD4">
        <w:rPr>
          <w:rFonts w:ascii="Times New Roman" w:hAnsi="Times New Roman" w:cs="Times New Roman"/>
        </w:rPr>
        <w:t>d’établir</w:t>
      </w:r>
      <w:r w:rsidR="004B3DD4" w:rsidRPr="004B3DD4">
        <w:rPr>
          <w:rFonts w:ascii="Times New Roman" w:hAnsi="Times New Roman" w:cs="Times New Roman"/>
        </w:rPr>
        <w:t xml:space="preserve"> qui</w:t>
      </w:r>
      <w:r w:rsidR="00F8562D" w:rsidRPr="004B3DD4">
        <w:rPr>
          <w:rFonts w:ascii="Times New Roman" w:hAnsi="Times New Roman" w:cs="Times New Roman"/>
        </w:rPr>
        <w:t xml:space="preserve"> </w:t>
      </w:r>
      <w:r w:rsidRPr="004B3DD4">
        <w:rPr>
          <w:rFonts w:ascii="Times New Roman" w:hAnsi="Times New Roman" w:cs="Times New Roman"/>
        </w:rPr>
        <w:t xml:space="preserve">du Canada ou de la Commission européenne </w:t>
      </w:r>
      <w:r w:rsidR="003F623C" w:rsidRPr="004B3DD4">
        <w:rPr>
          <w:rFonts w:ascii="Times New Roman" w:hAnsi="Times New Roman" w:cs="Times New Roman"/>
        </w:rPr>
        <w:t xml:space="preserve">tenait à l’inclusion de cette exception, il ne serait pas étonnant que ce soit </w:t>
      </w:r>
      <w:r w:rsidR="00EF38C5">
        <w:rPr>
          <w:rFonts w:ascii="Times New Roman" w:hAnsi="Times New Roman" w:cs="Times New Roman"/>
        </w:rPr>
        <w:t>cette dernière</w:t>
      </w:r>
      <w:r w:rsidR="003F623C" w:rsidRPr="004B3DD4">
        <w:rPr>
          <w:rFonts w:ascii="Times New Roman" w:hAnsi="Times New Roman" w:cs="Times New Roman"/>
        </w:rPr>
        <w:t xml:space="preserve"> étant donné </w:t>
      </w:r>
      <w:r w:rsidR="00F8562D" w:rsidRPr="004B3DD4">
        <w:rPr>
          <w:rFonts w:ascii="Times New Roman" w:hAnsi="Times New Roman" w:cs="Times New Roman"/>
        </w:rPr>
        <w:t>que la plus récente proposition européenne dans le cadre du Partenariat transatlantique la contient</w:t>
      </w:r>
      <w:r w:rsidR="00866311">
        <w:rPr>
          <w:rFonts w:ascii="Times New Roman" w:hAnsi="Times New Roman" w:cs="Times New Roman"/>
        </w:rPr>
        <w:t xml:space="preserve"> (Commission européenne 2015b : </w:t>
      </w:r>
      <w:proofErr w:type="spellStart"/>
      <w:r w:rsidR="00866311">
        <w:rPr>
          <w:rFonts w:ascii="Times New Roman" w:hAnsi="Times New Roman" w:cs="Times New Roman"/>
        </w:rPr>
        <w:t>Annex</w:t>
      </w:r>
      <w:proofErr w:type="spellEnd"/>
      <w:r w:rsidR="00866311">
        <w:rPr>
          <w:rFonts w:ascii="Times New Roman" w:hAnsi="Times New Roman" w:cs="Times New Roman"/>
        </w:rPr>
        <w:t xml:space="preserve"> II)</w:t>
      </w:r>
      <w:r w:rsidR="003F623C" w:rsidRPr="004B3DD4">
        <w:rPr>
          <w:rFonts w:ascii="Times New Roman" w:hAnsi="Times New Roman" w:cs="Times New Roman"/>
        </w:rPr>
        <w:t>.</w:t>
      </w:r>
      <w:r w:rsidR="003F623C">
        <w:rPr>
          <w:rFonts w:ascii="Times New Roman" w:hAnsi="Times New Roman" w:cs="Times New Roman"/>
        </w:rPr>
        <w:t xml:space="preserve"> De plus, il est frappant que cela survienne après que la Grèce et Chypre eurent reçu leur première plainte en lien avec la restructuration de</w:t>
      </w:r>
      <w:r w:rsidR="000C12EE">
        <w:rPr>
          <w:rFonts w:ascii="Times New Roman" w:hAnsi="Times New Roman" w:cs="Times New Roman"/>
        </w:rPr>
        <w:t xml:space="preserve"> leurs dettes souveraines (</w:t>
      </w:r>
      <w:r w:rsidR="00D932F3" w:rsidRPr="00D932F3">
        <w:rPr>
          <w:rFonts w:ascii="Times New Roman" w:hAnsi="Times New Roman" w:cs="Times New Roman"/>
        </w:rPr>
        <w:t>Bernasconi-</w:t>
      </w:r>
      <w:proofErr w:type="spellStart"/>
      <w:r w:rsidR="00D932F3" w:rsidRPr="00D932F3">
        <w:rPr>
          <w:rFonts w:ascii="Times New Roman" w:hAnsi="Times New Roman" w:cs="Times New Roman"/>
        </w:rPr>
        <w:t>Osterwalder</w:t>
      </w:r>
      <w:proofErr w:type="spellEnd"/>
      <w:r w:rsidR="003F623C">
        <w:rPr>
          <w:rFonts w:ascii="Times New Roman" w:hAnsi="Times New Roman" w:cs="Times New Roman"/>
        </w:rPr>
        <w:t xml:space="preserve"> 2013 : 7). Pour reprendre la réflexion sur la rationalité limitée de </w:t>
      </w:r>
      <w:proofErr w:type="spellStart"/>
      <w:r w:rsidR="003F623C">
        <w:rPr>
          <w:rFonts w:ascii="Times New Roman" w:hAnsi="Times New Roman" w:cs="Times New Roman"/>
        </w:rPr>
        <w:t>Poulsen</w:t>
      </w:r>
      <w:proofErr w:type="spellEnd"/>
      <w:r w:rsidR="003F623C">
        <w:rPr>
          <w:rFonts w:ascii="Times New Roman" w:hAnsi="Times New Roman" w:cs="Times New Roman"/>
        </w:rPr>
        <w:t>, le fait que des pays européens aient été visé</w:t>
      </w:r>
      <w:r w:rsidR="00EF38C5">
        <w:rPr>
          <w:rFonts w:ascii="Times New Roman" w:hAnsi="Times New Roman" w:cs="Times New Roman"/>
        </w:rPr>
        <w:t>s</w:t>
      </w:r>
      <w:r w:rsidR="003F623C">
        <w:rPr>
          <w:rFonts w:ascii="Times New Roman" w:hAnsi="Times New Roman" w:cs="Times New Roman"/>
        </w:rPr>
        <w:t xml:space="preserve"> par des plaintes touchant la restructuration de dettes </w:t>
      </w:r>
      <w:r w:rsidR="003F623C">
        <w:rPr>
          <w:rFonts w:ascii="Times New Roman" w:hAnsi="Times New Roman" w:cs="Times New Roman"/>
        </w:rPr>
        <w:lastRenderedPageBreak/>
        <w:t xml:space="preserve">souveraines pourrait expliquer pourquoi la Commission européenne juge maintenant important d’inclure une telle exception. </w:t>
      </w:r>
    </w:p>
    <w:p w14:paraId="1E861B10" w14:textId="579E04FA" w:rsidR="007E0BD0" w:rsidRPr="0091332B" w:rsidRDefault="00C70B6E" w:rsidP="00BA43F7">
      <w:pPr>
        <w:pStyle w:val="Titre2"/>
        <w:spacing w:before="120" w:after="120"/>
        <w:rPr>
          <w:rFonts w:ascii="Times New Roman" w:hAnsi="Times New Roman" w:cs="Times New Roman"/>
          <w:color w:val="auto"/>
          <w:u w:val="single"/>
        </w:rPr>
      </w:pPr>
      <w:bookmarkStart w:id="16" w:name="_Toc313471468"/>
      <w:r w:rsidRPr="0091332B">
        <w:rPr>
          <w:rFonts w:ascii="Times New Roman" w:hAnsi="Times New Roman" w:cs="Times New Roman"/>
          <w:color w:val="auto"/>
          <w:u w:val="single"/>
        </w:rPr>
        <w:t>4.2 Des standards de protection am</w:t>
      </w:r>
      <w:r w:rsidR="00EA2865" w:rsidRPr="0091332B">
        <w:rPr>
          <w:rFonts w:ascii="Times New Roman" w:hAnsi="Times New Roman" w:cs="Times New Roman"/>
          <w:color w:val="auto"/>
          <w:u w:val="single"/>
        </w:rPr>
        <w:t>éliorés, mais pas si nouveaux</w:t>
      </w:r>
      <w:bookmarkEnd w:id="16"/>
    </w:p>
    <w:p w14:paraId="39C15E95" w14:textId="66BC182C" w:rsidR="00BC21AB" w:rsidRDefault="00F421FF" w:rsidP="00BA43F7">
      <w:pPr>
        <w:spacing w:before="120" w:after="120" w:line="360" w:lineRule="auto"/>
        <w:jc w:val="both"/>
        <w:rPr>
          <w:rFonts w:ascii="Times New Roman" w:hAnsi="Times New Roman" w:cs="Times New Roman"/>
        </w:rPr>
      </w:pPr>
      <w:r>
        <w:rPr>
          <w:rFonts w:ascii="Times New Roman" w:hAnsi="Times New Roman" w:cs="Times New Roman"/>
        </w:rPr>
        <w:t xml:space="preserve">Une fois le champ d’application et les définitions </w:t>
      </w:r>
      <w:r w:rsidR="00E21968">
        <w:rPr>
          <w:rFonts w:ascii="Times New Roman" w:hAnsi="Times New Roman" w:cs="Times New Roman"/>
        </w:rPr>
        <w:t xml:space="preserve">établis, le cœur des accords sur l’investissement </w:t>
      </w:r>
      <w:proofErr w:type="gramStart"/>
      <w:r w:rsidR="00EF38C5">
        <w:rPr>
          <w:rFonts w:ascii="Times New Roman" w:hAnsi="Times New Roman" w:cs="Times New Roman"/>
        </w:rPr>
        <w:t>est</w:t>
      </w:r>
      <w:proofErr w:type="gramEnd"/>
      <w:r w:rsidR="00EF38C5">
        <w:rPr>
          <w:rFonts w:ascii="Times New Roman" w:hAnsi="Times New Roman" w:cs="Times New Roman"/>
        </w:rPr>
        <w:t xml:space="preserve"> </w:t>
      </w:r>
      <w:r w:rsidR="00E21968">
        <w:rPr>
          <w:rFonts w:ascii="Times New Roman" w:hAnsi="Times New Roman" w:cs="Times New Roman"/>
        </w:rPr>
        <w:t>bien évidemment les protections qu’offrent ces instruments juridiques aux investissements directs étrangers. Celles-ci peuvent</w:t>
      </w:r>
      <w:r w:rsidR="00DD6D61">
        <w:rPr>
          <w:rFonts w:ascii="Times New Roman" w:hAnsi="Times New Roman" w:cs="Times New Roman"/>
        </w:rPr>
        <w:t xml:space="preserve"> ici</w:t>
      </w:r>
      <w:r w:rsidR="00E21968">
        <w:rPr>
          <w:rFonts w:ascii="Times New Roman" w:hAnsi="Times New Roman" w:cs="Times New Roman"/>
        </w:rPr>
        <w:t xml:space="preserve"> être</w:t>
      </w:r>
      <w:r w:rsidR="007D0BDB">
        <w:rPr>
          <w:rFonts w:ascii="Times New Roman" w:hAnsi="Times New Roman" w:cs="Times New Roman"/>
        </w:rPr>
        <w:t xml:space="preserve"> séparées en</w:t>
      </w:r>
      <w:r w:rsidR="00DD6D61">
        <w:rPr>
          <w:rFonts w:ascii="Times New Roman" w:hAnsi="Times New Roman" w:cs="Times New Roman"/>
        </w:rPr>
        <w:t xml:space="preserve"> six</w:t>
      </w:r>
      <w:r w:rsidR="007D0BDB">
        <w:rPr>
          <w:rFonts w:ascii="Times New Roman" w:hAnsi="Times New Roman" w:cs="Times New Roman"/>
        </w:rPr>
        <w:t xml:space="preserve"> catégories, soit les </w:t>
      </w:r>
      <w:r w:rsidR="00E21968">
        <w:rPr>
          <w:rFonts w:ascii="Times New Roman" w:hAnsi="Times New Roman" w:cs="Times New Roman"/>
        </w:rPr>
        <w:t>protection</w:t>
      </w:r>
      <w:r w:rsidR="007D0BDB">
        <w:rPr>
          <w:rFonts w:ascii="Times New Roman" w:hAnsi="Times New Roman" w:cs="Times New Roman"/>
        </w:rPr>
        <w:t>s</w:t>
      </w:r>
      <w:r w:rsidR="00E21968">
        <w:rPr>
          <w:rFonts w:ascii="Times New Roman" w:hAnsi="Times New Roman" w:cs="Times New Roman"/>
        </w:rPr>
        <w:t xml:space="preserve"> en lien avec l’établissement, </w:t>
      </w:r>
      <w:r w:rsidR="00033882">
        <w:rPr>
          <w:rFonts w:ascii="Times New Roman" w:hAnsi="Times New Roman" w:cs="Times New Roman"/>
        </w:rPr>
        <w:t>les garanties de</w:t>
      </w:r>
      <w:r w:rsidR="007D0BDB">
        <w:rPr>
          <w:rFonts w:ascii="Times New Roman" w:hAnsi="Times New Roman" w:cs="Times New Roman"/>
        </w:rPr>
        <w:t xml:space="preserve"> </w:t>
      </w:r>
      <w:r w:rsidR="00E21968">
        <w:rPr>
          <w:rFonts w:ascii="Times New Roman" w:hAnsi="Times New Roman" w:cs="Times New Roman"/>
        </w:rPr>
        <w:t>non-discrimination</w:t>
      </w:r>
      <w:r w:rsidR="00E05E4E">
        <w:rPr>
          <w:rFonts w:ascii="Times New Roman" w:hAnsi="Times New Roman" w:cs="Times New Roman"/>
        </w:rPr>
        <w:t xml:space="preserve">, </w:t>
      </w:r>
      <w:r w:rsidR="007D0BDB">
        <w:rPr>
          <w:rFonts w:ascii="Times New Roman" w:hAnsi="Times New Roman" w:cs="Times New Roman"/>
        </w:rPr>
        <w:t xml:space="preserve">les </w:t>
      </w:r>
      <w:r w:rsidR="00033882">
        <w:rPr>
          <w:rFonts w:ascii="Times New Roman" w:hAnsi="Times New Roman" w:cs="Times New Roman"/>
        </w:rPr>
        <w:t>normes de traitement</w:t>
      </w:r>
      <w:r w:rsidR="00E05E4E">
        <w:rPr>
          <w:rFonts w:ascii="Times New Roman" w:hAnsi="Times New Roman" w:cs="Times New Roman"/>
        </w:rPr>
        <w:t xml:space="preserve"> des investissements, la protection contre les expropriations</w:t>
      </w:r>
      <w:r w:rsidR="00DD6D61">
        <w:rPr>
          <w:rFonts w:ascii="Times New Roman" w:hAnsi="Times New Roman" w:cs="Times New Roman"/>
        </w:rPr>
        <w:t>, la garantie de transfert et</w:t>
      </w:r>
      <w:r w:rsidR="00E05E4E">
        <w:rPr>
          <w:rFonts w:ascii="Times New Roman" w:hAnsi="Times New Roman" w:cs="Times New Roman"/>
        </w:rPr>
        <w:t xml:space="preserve"> </w:t>
      </w:r>
      <w:r w:rsidR="00DD6D61">
        <w:rPr>
          <w:rFonts w:ascii="Times New Roman" w:hAnsi="Times New Roman" w:cs="Times New Roman"/>
        </w:rPr>
        <w:t>la clause parapluie</w:t>
      </w:r>
      <w:r w:rsidR="007D0BDB">
        <w:rPr>
          <w:rFonts w:ascii="Times New Roman" w:hAnsi="Times New Roman" w:cs="Times New Roman"/>
        </w:rPr>
        <w:t>.</w:t>
      </w:r>
      <w:r w:rsidR="00EF38C5">
        <w:rPr>
          <w:rFonts w:ascii="Times New Roman" w:hAnsi="Times New Roman" w:cs="Times New Roman"/>
        </w:rPr>
        <w:t xml:space="preserve"> Chacune d’entre elles sera</w:t>
      </w:r>
      <w:r w:rsidR="00656234">
        <w:rPr>
          <w:rFonts w:ascii="Times New Roman" w:hAnsi="Times New Roman" w:cs="Times New Roman"/>
        </w:rPr>
        <w:t xml:space="preserve"> successivement présentée et analysée</w:t>
      </w:r>
      <w:r w:rsidR="00BC21AB">
        <w:rPr>
          <w:rFonts w:ascii="Times New Roman" w:hAnsi="Times New Roman" w:cs="Times New Roman"/>
        </w:rPr>
        <w:t xml:space="preserve">. </w:t>
      </w:r>
    </w:p>
    <w:p w14:paraId="40C75A7D" w14:textId="3B82DDBC" w:rsidR="00E8753F" w:rsidRPr="0091332B" w:rsidRDefault="00E8753F" w:rsidP="004F762A">
      <w:pPr>
        <w:pStyle w:val="Titre3"/>
        <w:jc w:val="both"/>
        <w:rPr>
          <w:rFonts w:ascii="Times New Roman" w:hAnsi="Times New Roman" w:cs="Times New Roman"/>
          <w:b w:val="0"/>
          <w:i/>
          <w:color w:val="auto"/>
          <w:sz w:val="26"/>
          <w:szCs w:val="26"/>
        </w:rPr>
      </w:pPr>
      <w:bookmarkStart w:id="17" w:name="_Toc313471469"/>
      <w:r w:rsidRPr="0091332B">
        <w:rPr>
          <w:rFonts w:ascii="Times New Roman" w:hAnsi="Times New Roman" w:cs="Times New Roman"/>
          <w:b w:val="0"/>
          <w:i/>
          <w:color w:val="auto"/>
          <w:sz w:val="26"/>
          <w:szCs w:val="26"/>
        </w:rPr>
        <w:t>4.2.1 L’a</w:t>
      </w:r>
      <w:r w:rsidR="00E05E4E" w:rsidRPr="0091332B">
        <w:rPr>
          <w:rFonts w:ascii="Times New Roman" w:hAnsi="Times New Roman" w:cs="Times New Roman"/>
          <w:b w:val="0"/>
          <w:i/>
          <w:color w:val="auto"/>
          <w:sz w:val="26"/>
          <w:szCs w:val="26"/>
        </w:rPr>
        <w:t>doption du modèle de libéralisation commerciale propre à l’OMC au sein du droit international des investissements</w:t>
      </w:r>
      <w:bookmarkEnd w:id="17"/>
      <w:r w:rsidR="00E05E4E" w:rsidRPr="0091332B">
        <w:rPr>
          <w:rFonts w:ascii="Times New Roman" w:hAnsi="Times New Roman" w:cs="Times New Roman"/>
          <w:b w:val="0"/>
          <w:i/>
          <w:color w:val="auto"/>
          <w:sz w:val="26"/>
          <w:szCs w:val="26"/>
        </w:rPr>
        <w:t xml:space="preserve"> </w:t>
      </w:r>
    </w:p>
    <w:p w14:paraId="3FC899B4" w14:textId="77036677" w:rsidR="00E21968" w:rsidRDefault="00EF38C5" w:rsidP="00BA43F7">
      <w:pPr>
        <w:spacing w:before="120" w:after="120" w:line="360" w:lineRule="auto"/>
        <w:jc w:val="both"/>
        <w:rPr>
          <w:rFonts w:ascii="Times New Roman" w:hAnsi="Times New Roman" w:cs="Times New Roman"/>
        </w:rPr>
      </w:pPr>
      <w:r>
        <w:rPr>
          <w:rFonts w:ascii="Times New Roman" w:hAnsi="Times New Roman" w:cs="Times New Roman"/>
        </w:rPr>
        <w:t>E</w:t>
      </w:r>
      <w:r w:rsidR="00033882">
        <w:rPr>
          <w:rFonts w:ascii="Times New Roman" w:hAnsi="Times New Roman" w:cs="Times New Roman"/>
        </w:rPr>
        <w:t xml:space="preserve">n ce qui a trait à l’établissement, il </w:t>
      </w:r>
      <w:r>
        <w:rPr>
          <w:rFonts w:ascii="Times New Roman" w:hAnsi="Times New Roman" w:cs="Times New Roman"/>
        </w:rPr>
        <w:t>faut ici souligner</w:t>
      </w:r>
      <w:r w:rsidR="00033882">
        <w:rPr>
          <w:rFonts w:ascii="Times New Roman" w:hAnsi="Times New Roman" w:cs="Times New Roman"/>
        </w:rPr>
        <w:t xml:space="preserve"> que la Commission européenne innove significativement en incluant un article sur l’accès au marché dans l’AECG. Un tel article est inexistant au sein de la pratique des pays membres de l’Union européenne ou nord-américains (</w:t>
      </w:r>
      <w:r w:rsidR="00D932F3" w:rsidRPr="00D932F3">
        <w:rPr>
          <w:rFonts w:ascii="Times New Roman" w:hAnsi="Times New Roman" w:cs="Times New Roman"/>
        </w:rPr>
        <w:t>Bernasconi-</w:t>
      </w:r>
      <w:proofErr w:type="spellStart"/>
      <w:r w:rsidR="00D932F3" w:rsidRPr="00D932F3">
        <w:rPr>
          <w:rFonts w:ascii="Times New Roman" w:hAnsi="Times New Roman" w:cs="Times New Roman"/>
        </w:rPr>
        <w:t>Osterwalder</w:t>
      </w:r>
      <w:proofErr w:type="spellEnd"/>
      <w:r w:rsidR="00D932F3">
        <w:rPr>
          <w:rFonts w:ascii="Times New Roman" w:hAnsi="Times New Roman" w:cs="Times New Roman"/>
        </w:rPr>
        <w:t xml:space="preserve"> </w:t>
      </w:r>
      <w:r w:rsidR="00033882">
        <w:rPr>
          <w:rFonts w:ascii="Times New Roman" w:hAnsi="Times New Roman" w:cs="Times New Roman"/>
        </w:rPr>
        <w:t xml:space="preserve">2013 : 10). </w:t>
      </w:r>
      <w:r w:rsidR="00F57049">
        <w:rPr>
          <w:rFonts w:ascii="Times New Roman" w:hAnsi="Times New Roman" w:cs="Times New Roman"/>
        </w:rPr>
        <w:t xml:space="preserve">La plupart </w:t>
      </w:r>
      <w:r w:rsidR="00FA3979">
        <w:rPr>
          <w:rFonts w:ascii="Times New Roman" w:hAnsi="Times New Roman" w:cs="Times New Roman"/>
        </w:rPr>
        <w:t>des traités n’offrent en effet aucune protection</w:t>
      </w:r>
      <w:r w:rsidR="00F57049">
        <w:rPr>
          <w:rFonts w:ascii="Times New Roman" w:hAnsi="Times New Roman" w:cs="Times New Roman"/>
        </w:rPr>
        <w:t xml:space="preserve"> aux investissements </w:t>
      </w:r>
      <w:r w:rsidR="00FA3979">
        <w:rPr>
          <w:rFonts w:ascii="Times New Roman" w:hAnsi="Times New Roman" w:cs="Times New Roman"/>
        </w:rPr>
        <w:t>avant qu’ils soient admis</w:t>
      </w:r>
      <w:r w:rsidR="00F57049">
        <w:rPr>
          <w:rFonts w:ascii="Times New Roman" w:hAnsi="Times New Roman" w:cs="Times New Roman"/>
        </w:rPr>
        <w:t xml:space="preserve"> par l’</w:t>
      </w:r>
      <w:r w:rsidR="00FA3979">
        <w:rPr>
          <w:rFonts w:ascii="Times New Roman" w:hAnsi="Times New Roman" w:cs="Times New Roman"/>
        </w:rPr>
        <w:t xml:space="preserve">État hôte, décision pour laquelle </w:t>
      </w:r>
      <w:r w:rsidR="005D1300">
        <w:rPr>
          <w:rFonts w:ascii="Times New Roman" w:hAnsi="Times New Roman" w:cs="Times New Roman"/>
        </w:rPr>
        <w:t>il conserve</w:t>
      </w:r>
      <w:r w:rsidR="00FA3979">
        <w:rPr>
          <w:rFonts w:ascii="Times New Roman" w:hAnsi="Times New Roman" w:cs="Times New Roman"/>
        </w:rPr>
        <w:t xml:space="preserve"> </w:t>
      </w:r>
      <w:r w:rsidR="005D1300">
        <w:rPr>
          <w:rFonts w:ascii="Times New Roman" w:hAnsi="Times New Roman" w:cs="Times New Roman"/>
        </w:rPr>
        <w:t xml:space="preserve">une </w:t>
      </w:r>
      <w:r w:rsidR="00FA3979">
        <w:rPr>
          <w:rFonts w:ascii="Times New Roman" w:hAnsi="Times New Roman" w:cs="Times New Roman"/>
        </w:rPr>
        <w:t>entière liberté en droit coutumier</w:t>
      </w:r>
      <w:r w:rsidR="00D932F3">
        <w:rPr>
          <w:rFonts w:ascii="Times New Roman" w:hAnsi="Times New Roman" w:cs="Times New Roman"/>
        </w:rPr>
        <w:t xml:space="preserve"> (</w:t>
      </w:r>
      <w:proofErr w:type="spellStart"/>
      <w:r w:rsidR="00D932F3">
        <w:rPr>
          <w:rFonts w:ascii="Times New Roman" w:hAnsi="Times New Roman" w:cs="Times New Roman"/>
        </w:rPr>
        <w:t>Newcombe</w:t>
      </w:r>
      <w:proofErr w:type="spellEnd"/>
      <w:r w:rsidR="00D932F3">
        <w:rPr>
          <w:rFonts w:ascii="Times New Roman" w:hAnsi="Times New Roman" w:cs="Times New Roman"/>
        </w:rPr>
        <w:t xml:space="preserve"> et </w:t>
      </w:r>
      <w:proofErr w:type="spellStart"/>
      <w:r w:rsidR="00D932F3">
        <w:rPr>
          <w:rFonts w:ascii="Times New Roman" w:hAnsi="Times New Roman" w:cs="Times New Roman"/>
        </w:rPr>
        <w:t>Paradell</w:t>
      </w:r>
      <w:proofErr w:type="spellEnd"/>
      <w:r w:rsidR="00F57049">
        <w:rPr>
          <w:rFonts w:ascii="Times New Roman" w:hAnsi="Times New Roman" w:cs="Times New Roman"/>
        </w:rPr>
        <w:t xml:space="preserve"> 2009 : 122). Au mieux, les États-Unis et le Canada </w:t>
      </w:r>
      <w:r w:rsidR="00656234">
        <w:rPr>
          <w:rFonts w:ascii="Times New Roman" w:hAnsi="Times New Roman" w:cs="Times New Roman"/>
        </w:rPr>
        <w:t xml:space="preserve">ont </w:t>
      </w:r>
      <w:r w:rsidR="00FA3979">
        <w:rPr>
          <w:rFonts w:ascii="Times New Roman" w:hAnsi="Times New Roman" w:cs="Times New Roman"/>
        </w:rPr>
        <w:t xml:space="preserve">progressivement </w:t>
      </w:r>
      <w:r w:rsidR="00656234">
        <w:rPr>
          <w:rFonts w:ascii="Times New Roman" w:hAnsi="Times New Roman" w:cs="Times New Roman"/>
        </w:rPr>
        <w:t>offert</w:t>
      </w:r>
      <w:r w:rsidR="00FA3979">
        <w:rPr>
          <w:rFonts w:ascii="Times New Roman" w:hAnsi="Times New Roman" w:cs="Times New Roman"/>
        </w:rPr>
        <w:t xml:space="preserve"> </w:t>
      </w:r>
      <w:r w:rsidR="00F57049">
        <w:rPr>
          <w:rFonts w:ascii="Times New Roman" w:hAnsi="Times New Roman" w:cs="Times New Roman"/>
        </w:rPr>
        <w:t>certaines protections pré-établissement, mais il</w:t>
      </w:r>
      <w:r>
        <w:rPr>
          <w:rFonts w:ascii="Times New Roman" w:hAnsi="Times New Roman" w:cs="Times New Roman"/>
        </w:rPr>
        <w:t>s</w:t>
      </w:r>
      <w:r w:rsidR="00F57049">
        <w:rPr>
          <w:rFonts w:ascii="Times New Roman" w:hAnsi="Times New Roman" w:cs="Times New Roman"/>
        </w:rPr>
        <w:t xml:space="preserve"> ne s’engageai</w:t>
      </w:r>
      <w:r>
        <w:rPr>
          <w:rFonts w:ascii="Times New Roman" w:hAnsi="Times New Roman" w:cs="Times New Roman"/>
        </w:rPr>
        <w:t>en</w:t>
      </w:r>
      <w:r w:rsidR="00F57049">
        <w:rPr>
          <w:rFonts w:ascii="Times New Roman" w:hAnsi="Times New Roman" w:cs="Times New Roman"/>
        </w:rPr>
        <w:t>t pas sur des règles d’accès au marché spécifiq</w:t>
      </w:r>
      <w:r w:rsidR="00D932F3">
        <w:rPr>
          <w:rFonts w:ascii="Times New Roman" w:hAnsi="Times New Roman" w:cs="Times New Roman"/>
        </w:rPr>
        <w:t>ues du type de l’AGCS (</w:t>
      </w:r>
      <w:proofErr w:type="spellStart"/>
      <w:r w:rsidR="00D932F3">
        <w:rPr>
          <w:rFonts w:ascii="Times New Roman" w:hAnsi="Times New Roman" w:cs="Times New Roman"/>
        </w:rPr>
        <w:t>Reinisch</w:t>
      </w:r>
      <w:proofErr w:type="spellEnd"/>
      <w:r w:rsidR="00F57049">
        <w:rPr>
          <w:rFonts w:ascii="Times New Roman" w:hAnsi="Times New Roman" w:cs="Times New Roman"/>
        </w:rPr>
        <w:t xml:space="preserve"> 2014 : 688). </w:t>
      </w:r>
      <w:r w:rsidRPr="00EF38C5">
        <w:rPr>
          <w:rFonts w:ascii="Times New Roman" w:hAnsi="Times New Roman" w:cs="Times New Roman"/>
        </w:rPr>
        <w:t xml:space="preserve">C’est, au contraire, ce que semble avoir </w:t>
      </w:r>
      <w:r>
        <w:rPr>
          <w:rFonts w:ascii="Times New Roman" w:hAnsi="Times New Roman" w:cs="Times New Roman"/>
        </w:rPr>
        <w:t xml:space="preserve">adopté </w:t>
      </w:r>
      <w:r w:rsidRPr="00EF38C5">
        <w:rPr>
          <w:rFonts w:ascii="Times New Roman" w:hAnsi="Times New Roman" w:cs="Times New Roman"/>
        </w:rPr>
        <w:t>l’Europe</w:t>
      </w:r>
      <w:r>
        <w:rPr>
          <w:rFonts w:ascii="Times New Roman" w:hAnsi="Times New Roman" w:cs="Times New Roman"/>
        </w:rPr>
        <w:t>.</w:t>
      </w:r>
    </w:p>
    <w:p w14:paraId="61D847C5" w14:textId="5BA348A5" w:rsidR="00FB3DF3" w:rsidRDefault="003B3BC6" w:rsidP="00BA43F7">
      <w:pPr>
        <w:spacing w:before="120" w:after="120" w:line="360" w:lineRule="auto"/>
        <w:jc w:val="both"/>
        <w:rPr>
          <w:rFonts w:ascii="Times New Roman" w:hAnsi="Times New Roman" w:cs="Times New Roman"/>
        </w:rPr>
      </w:pPr>
      <w:r>
        <w:rPr>
          <w:rFonts w:ascii="Times New Roman" w:hAnsi="Times New Roman" w:cs="Times New Roman"/>
        </w:rPr>
        <w:t xml:space="preserve">En 2006, alors que l’Union européenne n’avait qu’une compétence indirecte sur l’investissement du fait qu’elle pouvait négocier des règles </w:t>
      </w:r>
      <w:r w:rsidR="00066010">
        <w:rPr>
          <w:rFonts w:ascii="Times New Roman" w:hAnsi="Times New Roman" w:cs="Times New Roman"/>
        </w:rPr>
        <w:t xml:space="preserve">en lien avec </w:t>
      </w:r>
      <w:r>
        <w:rPr>
          <w:rFonts w:ascii="Times New Roman" w:hAnsi="Times New Roman" w:cs="Times New Roman"/>
        </w:rPr>
        <w:t xml:space="preserve">l’établissement des fournisseurs de services, la Commission européenne </w:t>
      </w:r>
      <w:r w:rsidR="00066010">
        <w:rPr>
          <w:rFonts w:ascii="Times New Roman" w:hAnsi="Times New Roman" w:cs="Times New Roman"/>
        </w:rPr>
        <w:t>a publié</w:t>
      </w:r>
      <w:r>
        <w:rPr>
          <w:rFonts w:ascii="Times New Roman" w:hAnsi="Times New Roman" w:cs="Times New Roman"/>
        </w:rPr>
        <w:t xml:space="preserve"> </w:t>
      </w:r>
      <w:r w:rsidR="00E45663">
        <w:rPr>
          <w:rFonts w:ascii="Times New Roman" w:hAnsi="Times New Roman" w:cs="Times New Roman"/>
        </w:rPr>
        <w:t xml:space="preserve">une </w:t>
      </w:r>
      <w:r w:rsidR="00066010">
        <w:rPr>
          <w:rFonts w:ascii="Times New Roman" w:hAnsi="Times New Roman" w:cs="Times New Roman"/>
        </w:rPr>
        <w:t>plateforme minimale sur l’</w:t>
      </w:r>
      <w:r>
        <w:rPr>
          <w:rFonts w:ascii="Times New Roman" w:hAnsi="Times New Roman" w:cs="Times New Roman"/>
        </w:rPr>
        <w:t xml:space="preserve">investissement pour ses futurs accords de libre-échange. </w:t>
      </w:r>
      <w:r w:rsidR="00EF38C5">
        <w:rPr>
          <w:rFonts w:ascii="Times New Roman" w:hAnsi="Times New Roman" w:cs="Times New Roman"/>
        </w:rPr>
        <w:t>Dans</w:t>
      </w:r>
      <w:r w:rsidR="00066010">
        <w:rPr>
          <w:rFonts w:ascii="Times New Roman" w:hAnsi="Times New Roman" w:cs="Times New Roman"/>
        </w:rPr>
        <w:t xml:space="preserve"> ce document se retrouvait en quelque sorte une première version de son</w:t>
      </w:r>
      <w:r>
        <w:rPr>
          <w:rFonts w:ascii="Times New Roman" w:hAnsi="Times New Roman" w:cs="Times New Roman"/>
        </w:rPr>
        <w:t xml:space="preserve"> modèle d’accord </w:t>
      </w:r>
      <w:r w:rsidR="00066010">
        <w:rPr>
          <w:rFonts w:ascii="Times New Roman" w:hAnsi="Times New Roman" w:cs="Times New Roman"/>
        </w:rPr>
        <w:t xml:space="preserve">sur l’investissement qui comprenait </w:t>
      </w:r>
      <w:r w:rsidR="00E45663">
        <w:rPr>
          <w:rFonts w:ascii="Times New Roman" w:hAnsi="Times New Roman" w:cs="Times New Roman"/>
        </w:rPr>
        <w:t>justement un article sur l’accès</w:t>
      </w:r>
      <w:r w:rsidR="00066010">
        <w:rPr>
          <w:rFonts w:ascii="Times New Roman" w:hAnsi="Times New Roman" w:cs="Times New Roman"/>
        </w:rPr>
        <w:t xml:space="preserve"> au marché des investissements</w:t>
      </w:r>
      <w:r w:rsidR="00EF38C5">
        <w:rPr>
          <w:rFonts w:ascii="Times New Roman" w:hAnsi="Times New Roman" w:cs="Times New Roman"/>
        </w:rPr>
        <w:t>, article</w:t>
      </w:r>
      <w:r w:rsidR="00066010">
        <w:rPr>
          <w:rFonts w:ascii="Times New Roman" w:hAnsi="Times New Roman" w:cs="Times New Roman"/>
        </w:rPr>
        <w:t xml:space="preserve"> qui fut repris au sein de son accord de libre-échange avec la Corée de 2011. L’origine de cet article, maintenant présent dans l’AECG, peut clairement être retracé</w:t>
      </w:r>
      <w:r w:rsidR="00EF38C5">
        <w:rPr>
          <w:rFonts w:ascii="Times New Roman" w:hAnsi="Times New Roman" w:cs="Times New Roman"/>
        </w:rPr>
        <w:t>e</w:t>
      </w:r>
      <w:r w:rsidR="00066010">
        <w:rPr>
          <w:rFonts w:ascii="Times New Roman" w:hAnsi="Times New Roman" w:cs="Times New Roman"/>
        </w:rPr>
        <w:t xml:space="preserve"> à </w:t>
      </w:r>
      <w:r w:rsidR="00E45663">
        <w:rPr>
          <w:rFonts w:ascii="Times New Roman" w:hAnsi="Times New Roman" w:cs="Times New Roman"/>
        </w:rPr>
        <w:t xml:space="preserve">l’AGCS </w:t>
      </w:r>
      <w:r w:rsidR="00066010">
        <w:rPr>
          <w:rFonts w:ascii="Times New Roman" w:hAnsi="Times New Roman" w:cs="Times New Roman"/>
        </w:rPr>
        <w:t xml:space="preserve">qui fonctionne précisément avec des engagements d’accès au marché pour certains services </w:t>
      </w:r>
      <w:r w:rsidR="0048723F">
        <w:rPr>
          <w:rFonts w:ascii="Times New Roman" w:hAnsi="Times New Roman" w:cs="Times New Roman"/>
        </w:rPr>
        <w:t>(Léve</w:t>
      </w:r>
      <w:r w:rsidR="00D932F3">
        <w:rPr>
          <w:rFonts w:ascii="Times New Roman" w:hAnsi="Times New Roman" w:cs="Times New Roman"/>
        </w:rPr>
        <w:t>sque</w:t>
      </w:r>
      <w:r w:rsidR="0048723F">
        <w:rPr>
          <w:rFonts w:ascii="Times New Roman" w:hAnsi="Times New Roman" w:cs="Times New Roman"/>
        </w:rPr>
        <w:t xml:space="preserve"> 2013</w:t>
      </w:r>
      <w:r w:rsidR="00E45663">
        <w:rPr>
          <w:rFonts w:ascii="Times New Roman" w:hAnsi="Times New Roman" w:cs="Times New Roman"/>
        </w:rPr>
        <w:t xml:space="preserve"> : </w:t>
      </w:r>
      <w:r w:rsidR="0048723F">
        <w:rPr>
          <w:rFonts w:ascii="Times New Roman" w:hAnsi="Times New Roman" w:cs="Times New Roman"/>
        </w:rPr>
        <w:t>122-</w:t>
      </w:r>
      <w:r w:rsidR="00E45663">
        <w:rPr>
          <w:rFonts w:ascii="Times New Roman" w:hAnsi="Times New Roman" w:cs="Times New Roman"/>
        </w:rPr>
        <w:t xml:space="preserve">124). </w:t>
      </w:r>
      <w:r w:rsidR="00743719">
        <w:rPr>
          <w:rFonts w:ascii="Times New Roman" w:hAnsi="Times New Roman" w:cs="Times New Roman"/>
        </w:rPr>
        <w:t xml:space="preserve">Il semble ainsi que </w:t>
      </w:r>
      <w:r w:rsidR="0048723F">
        <w:rPr>
          <w:rFonts w:ascii="Times New Roman" w:hAnsi="Times New Roman" w:cs="Times New Roman"/>
        </w:rPr>
        <w:t xml:space="preserve">la Commission européenne </w:t>
      </w:r>
      <w:r w:rsidR="00EF38C5">
        <w:rPr>
          <w:rFonts w:ascii="Times New Roman" w:hAnsi="Times New Roman" w:cs="Times New Roman"/>
        </w:rPr>
        <w:t xml:space="preserve">ait été </w:t>
      </w:r>
      <w:r w:rsidR="0048723F">
        <w:rPr>
          <w:rFonts w:ascii="Times New Roman" w:hAnsi="Times New Roman" w:cs="Times New Roman"/>
        </w:rPr>
        <w:t xml:space="preserve">influencée par </w:t>
      </w:r>
      <w:r w:rsidR="00743719">
        <w:rPr>
          <w:rFonts w:ascii="Times New Roman" w:hAnsi="Times New Roman" w:cs="Times New Roman"/>
        </w:rPr>
        <w:t>son</w:t>
      </w:r>
      <w:r w:rsidR="0048723F">
        <w:rPr>
          <w:rFonts w:ascii="Times New Roman" w:hAnsi="Times New Roman" w:cs="Times New Roman"/>
        </w:rPr>
        <w:t xml:space="preserve"> expérience</w:t>
      </w:r>
      <w:r w:rsidR="00743719">
        <w:rPr>
          <w:rFonts w:ascii="Times New Roman" w:hAnsi="Times New Roman" w:cs="Times New Roman"/>
        </w:rPr>
        <w:t xml:space="preserve"> à l’OMC où elle représente l’Union européenne</w:t>
      </w:r>
      <w:r w:rsidR="0048723F">
        <w:rPr>
          <w:rFonts w:ascii="Times New Roman" w:hAnsi="Times New Roman" w:cs="Times New Roman"/>
        </w:rPr>
        <w:t xml:space="preserve">. </w:t>
      </w:r>
      <w:r w:rsidR="00E45663">
        <w:rPr>
          <w:rFonts w:ascii="Times New Roman" w:hAnsi="Times New Roman" w:cs="Times New Roman"/>
        </w:rPr>
        <w:lastRenderedPageBreak/>
        <w:t xml:space="preserve">Une différence importante </w:t>
      </w:r>
      <w:r w:rsidR="00EF38C5">
        <w:rPr>
          <w:rFonts w:ascii="Times New Roman" w:hAnsi="Times New Roman" w:cs="Times New Roman"/>
        </w:rPr>
        <w:t>doit</w:t>
      </w:r>
      <w:r w:rsidR="00066010">
        <w:rPr>
          <w:rFonts w:ascii="Times New Roman" w:hAnsi="Times New Roman" w:cs="Times New Roman"/>
        </w:rPr>
        <w:t xml:space="preserve"> toutefois</w:t>
      </w:r>
      <w:r w:rsidR="00E45663">
        <w:rPr>
          <w:rFonts w:ascii="Times New Roman" w:hAnsi="Times New Roman" w:cs="Times New Roman"/>
        </w:rPr>
        <w:t xml:space="preserve"> </w:t>
      </w:r>
      <w:r w:rsidR="00EF38C5">
        <w:rPr>
          <w:rFonts w:ascii="Times New Roman" w:hAnsi="Times New Roman" w:cs="Times New Roman"/>
        </w:rPr>
        <w:t>être soulignée :</w:t>
      </w:r>
      <w:r w:rsidR="00066010">
        <w:rPr>
          <w:rFonts w:ascii="Times New Roman" w:hAnsi="Times New Roman" w:cs="Times New Roman"/>
        </w:rPr>
        <w:t xml:space="preserve"> dès la publication de son modèle en 2006,</w:t>
      </w:r>
      <w:r w:rsidR="00E45663">
        <w:rPr>
          <w:rFonts w:ascii="Times New Roman" w:hAnsi="Times New Roman" w:cs="Times New Roman"/>
        </w:rPr>
        <w:t xml:space="preserve"> la Commission européenne a</w:t>
      </w:r>
      <w:r w:rsidR="00066010">
        <w:rPr>
          <w:rFonts w:ascii="Times New Roman" w:hAnsi="Times New Roman" w:cs="Times New Roman"/>
        </w:rPr>
        <w:t xml:space="preserve"> décidé</w:t>
      </w:r>
      <w:r w:rsidR="00E45663">
        <w:rPr>
          <w:rFonts w:ascii="Times New Roman" w:hAnsi="Times New Roman" w:cs="Times New Roman"/>
        </w:rPr>
        <w:t xml:space="preserve"> de f</w:t>
      </w:r>
      <w:r w:rsidR="0031549F">
        <w:rPr>
          <w:rFonts w:ascii="Times New Roman" w:hAnsi="Times New Roman" w:cs="Times New Roman"/>
        </w:rPr>
        <w:t xml:space="preserve">onctionner à </w:t>
      </w:r>
      <w:r w:rsidR="00375572">
        <w:rPr>
          <w:rFonts w:ascii="Times New Roman" w:hAnsi="Times New Roman" w:cs="Times New Roman"/>
        </w:rPr>
        <w:t>partir</w:t>
      </w:r>
      <w:r w:rsidR="0031549F">
        <w:rPr>
          <w:rFonts w:ascii="Times New Roman" w:hAnsi="Times New Roman" w:cs="Times New Roman"/>
        </w:rPr>
        <w:t xml:space="preserve"> d’une</w:t>
      </w:r>
      <w:r w:rsidR="00E45663">
        <w:rPr>
          <w:rFonts w:ascii="Times New Roman" w:hAnsi="Times New Roman" w:cs="Times New Roman"/>
        </w:rPr>
        <w:t xml:space="preserve"> liste négative </w:t>
      </w:r>
      <w:r w:rsidR="00EF38C5">
        <w:rPr>
          <w:rFonts w:ascii="Times New Roman" w:hAnsi="Times New Roman" w:cs="Times New Roman"/>
        </w:rPr>
        <w:t>plutôt que</w:t>
      </w:r>
      <w:r w:rsidR="00E45663">
        <w:rPr>
          <w:rFonts w:ascii="Times New Roman" w:hAnsi="Times New Roman" w:cs="Times New Roman"/>
        </w:rPr>
        <w:t xml:space="preserve"> po</w:t>
      </w:r>
      <w:r w:rsidR="00F50DE8">
        <w:rPr>
          <w:rFonts w:ascii="Times New Roman" w:hAnsi="Times New Roman" w:cs="Times New Roman"/>
        </w:rPr>
        <w:t>sitive comme le fait l’AGCS. Dans les faits, c</w:t>
      </w:r>
      <w:r w:rsidR="003C648D">
        <w:rPr>
          <w:rFonts w:ascii="Times New Roman" w:hAnsi="Times New Roman" w:cs="Times New Roman"/>
        </w:rPr>
        <w:t xml:space="preserve">e changement </w:t>
      </w:r>
      <w:r w:rsidR="00F50DE8">
        <w:rPr>
          <w:rFonts w:ascii="Times New Roman" w:hAnsi="Times New Roman" w:cs="Times New Roman"/>
        </w:rPr>
        <w:t xml:space="preserve">n’est pas aussi incroyable </w:t>
      </w:r>
      <w:r w:rsidR="00EF38C5">
        <w:rPr>
          <w:rFonts w:ascii="Times New Roman" w:hAnsi="Times New Roman" w:cs="Times New Roman"/>
        </w:rPr>
        <w:t xml:space="preserve">qu’il puisse </w:t>
      </w:r>
      <w:proofErr w:type="spellStart"/>
      <w:r w:rsidR="00EF38C5">
        <w:rPr>
          <w:rFonts w:ascii="Times New Roman" w:hAnsi="Times New Roman" w:cs="Times New Roman"/>
        </w:rPr>
        <w:t>paraître</w:t>
      </w:r>
      <w:proofErr w:type="spellEnd"/>
      <w:r w:rsidR="003C648D">
        <w:rPr>
          <w:rFonts w:ascii="Times New Roman" w:hAnsi="Times New Roman" w:cs="Times New Roman"/>
        </w:rPr>
        <w:t xml:space="preserve"> puisque </w:t>
      </w:r>
      <w:r w:rsidR="00F50DE8">
        <w:rPr>
          <w:rFonts w:ascii="Times New Roman" w:hAnsi="Times New Roman" w:cs="Times New Roman"/>
        </w:rPr>
        <w:t>plusieurs</w:t>
      </w:r>
      <w:r w:rsidR="003C648D">
        <w:rPr>
          <w:rFonts w:ascii="Times New Roman" w:hAnsi="Times New Roman" w:cs="Times New Roman"/>
        </w:rPr>
        <w:t xml:space="preserve"> secteurs pour lesquels l’Europe n’avait pas pris d’e</w:t>
      </w:r>
      <w:r w:rsidR="00F50DE8">
        <w:rPr>
          <w:rFonts w:ascii="Times New Roman" w:hAnsi="Times New Roman" w:cs="Times New Roman"/>
        </w:rPr>
        <w:t>ngagement au sein de l’AGCS sont maintenant protégés</w:t>
      </w:r>
      <w:r w:rsidR="003C648D">
        <w:rPr>
          <w:rFonts w:ascii="Times New Roman" w:hAnsi="Times New Roman" w:cs="Times New Roman"/>
        </w:rPr>
        <w:t xml:space="preserve"> par une réserve en annexe au chapitre sur l’investissement de l’AECG (Léves</w:t>
      </w:r>
      <w:r w:rsidR="00D932F3">
        <w:rPr>
          <w:rFonts w:ascii="Times New Roman" w:hAnsi="Times New Roman" w:cs="Times New Roman"/>
        </w:rPr>
        <w:t>que</w:t>
      </w:r>
      <w:r w:rsidR="0048723F">
        <w:rPr>
          <w:rFonts w:ascii="Times New Roman" w:hAnsi="Times New Roman" w:cs="Times New Roman"/>
        </w:rPr>
        <w:t xml:space="preserve"> 2013</w:t>
      </w:r>
      <w:r w:rsidR="003C648D">
        <w:rPr>
          <w:rFonts w:ascii="Times New Roman" w:hAnsi="Times New Roman" w:cs="Times New Roman"/>
        </w:rPr>
        <w:t> : 124).</w:t>
      </w:r>
      <w:r w:rsidR="00EF38C5">
        <w:rPr>
          <w:rFonts w:ascii="Times New Roman" w:hAnsi="Times New Roman" w:cs="Times New Roman"/>
        </w:rPr>
        <w:t xml:space="preserve"> Il est aussi</w:t>
      </w:r>
      <w:r w:rsidR="00F50DE8">
        <w:rPr>
          <w:rFonts w:ascii="Times New Roman" w:hAnsi="Times New Roman" w:cs="Times New Roman"/>
        </w:rPr>
        <w:t xml:space="preserve"> vrai qu’à l’avenir</w:t>
      </w:r>
      <w:r w:rsidR="003C648D">
        <w:rPr>
          <w:rFonts w:ascii="Times New Roman" w:hAnsi="Times New Roman" w:cs="Times New Roman"/>
        </w:rPr>
        <w:t xml:space="preserve"> les nouveaux secteurs d’activité seront automatiquement libéralisés a</w:t>
      </w:r>
      <w:r w:rsidR="00D932F3">
        <w:rPr>
          <w:rFonts w:ascii="Times New Roman" w:hAnsi="Times New Roman" w:cs="Times New Roman"/>
        </w:rPr>
        <w:t>vec cette approche (Shan et Zhang</w:t>
      </w:r>
      <w:r w:rsidR="003C648D">
        <w:rPr>
          <w:rFonts w:ascii="Times New Roman" w:hAnsi="Times New Roman" w:cs="Times New Roman"/>
        </w:rPr>
        <w:t xml:space="preserve"> 2014 : 445-446). </w:t>
      </w:r>
      <w:r w:rsidR="00FB3DF3">
        <w:rPr>
          <w:rFonts w:ascii="Times New Roman" w:hAnsi="Times New Roman" w:cs="Times New Roman"/>
        </w:rPr>
        <w:t xml:space="preserve">Une lecture consciencieuse du texte de l’AECG permet </w:t>
      </w:r>
      <w:r w:rsidR="00F50DE8">
        <w:rPr>
          <w:rFonts w:ascii="Times New Roman" w:hAnsi="Times New Roman" w:cs="Times New Roman"/>
        </w:rPr>
        <w:t>néanmoins</w:t>
      </w:r>
      <w:r w:rsidR="00FB3DF3">
        <w:rPr>
          <w:rFonts w:ascii="Times New Roman" w:hAnsi="Times New Roman" w:cs="Times New Roman"/>
        </w:rPr>
        <w:t xml:space="preserve"> de voir </w:t>
      </w:r>
      <w:r w:rsidR="00066010">
        <w:rPr>
          <w:rFonts w:ascii="Times New Roman" w:hAnsi="Times New Roman" w:cs="Times New Roman"/>
        </w:rPr>
        <w:t xml:space="preserve">que </w:t>
      </w:r>
      <w:r w:rsidR="00FB3DF3">
        <w:rPr>
          <w:rFonts w:ascii="Times New Roman" w:hAnsi="Times New Roman" w:cs="Times New Roman"/>
        </w:rPr>
        <w:t xml:space="preserve">la Commission européenne </w:t>
      </w:r>
      <w:r w:rsidR="00EF38C5">
        <w:rPr>
          <w:rFonts w:ascii="Times New Roman" w:hAnsi="Times New Roman" w:cs="Times New Roman"/>
        </w:rPr>
        <w:t>n’a pas opté</w:t>
      </w:r>
      <w:r w:rsidR="00FB3DF3">
        <w:rPr>
          <w:rFonts w:ascii="Times New Roman" w:hAnsi="Times New Roman" w:cs="Times New Roman"/>
        </w:rPr>
        <w:t xml:space="preserve"> </w:t>
      </w:r>
      <w:r w:rsidR="00375572">
        <w:rPr>
          <w:rFonts w:ascii="Times New Roman" w:hAnsi="Times New Roman" w:cs="Times New Roman"/>
        </w:rPr>
        <w:t>pour</w:t>
      </w:r>
      <w:r w:rsidR="00FB3DF3">
        <w:rPr>
          <w:rFonts w:ascii="Times New Roman" w:hAnsi="Times New Roman" w:cs="Times New Roman"/>
        </w:rPr>
        <w:t xml:space="preserve"> cette approche sans</w:t>
      </w:r>
      <w:r w:rsidR="00F50DE8">
        <w:rPr>
          <w:rFonts w:ascii="Times New Roman" w:hAnsi="Times New Roman" w:cs="Times New Roman"/>
        </w:rPr>
        <w:t xml:space="preserve"> </w:t>
      </w:r>
      <w:r w:rsidR="00375572">
        <w:rPr>
          <w:rFonts w:ascii="Times New Roman" w:hAnsi="Times New Roman" w:cs="Times New Roman"/>
        </w:rPr>
        <w:t>prendre des</w:t>
      </w:r>
      <w:r w:rsidR="00FB3DF3">
        <w:rPr>
          <w:rFonts w:ascii="Times New Roman" w:hAnsi="Times New Roman" w:cs="Times New Roman"/>
        </w:rPr>
        <w:t xml:space="preserve"> précaution</w:t>
      </w:r>
      <w:r w:rsidR="00375572">
        <w:rPr>
          <w:rFonts w:ascii="Times New Roman" w:hAnsi="Times New Roman" w:cs="Times New Roman"/>
        </w:rPr>
        <w:t>s</w:t>
      </w:r>
      <w:r w:rsidR="00FB3DF3">
        <w:rPr>
          <w:rFonts w:ascii="Times New Roman" w:hAnsi="Times New Roman" w:cs="Times New Roman"/>
        </w:rPr>
        <w:t>. Une annexe au chapitre sur le commerce transfrontalier des services indique que :</w:t>
      </w:r>
    </w:p>
    <w:p w14:paraId="3B91F3E9" w14:textId="1EF3F9ED" w:rsidR="003B3BC6" w:rsidRPr="00FB3DF3" w:rsidRDefault="00FB3DF3" w:rsidP="00EF38C5">
      <w:pPr>
        <w:spacing w:before="120" w:after="120"/>
        <w:ind w:left="709" w:right="709"/>
        <w:jc w:val="both"/>
        <w:rPr>
          <w:rFonts w:ascii="Times New Roman" w:hAnsi="Times New Roman" w:cs="Times New Roman"/>
          <w:sz w:val="20"/>
          <w:szCs w:val="20"/>
        </w:rPr>
      </w:pPr>
      <w:r w:rsidRPr="00FB3DF3">
        <w:rPr>
          <w:rFonts w:ascii="Times New Roman" w:hAnsi="Times New Roman" w:cs="Times New Roman"/>
          <w:color w:val="000000"/>
          <w:sz w:val="20"/>
          <w:szCs w:val="20"/>
          <w:shd w:val="clear" w:color="auto" w:fill="FFFFFF"/>
        </w:rPr>
        <w:t>1. Les Parties conviennent que le chapitre x (Règlementation intérieure), l’article X (CTS-Traitement national), l’article X (CTS – Accès au marché) et l’article X (CTS – NPF) ne s’appliquent pas en ce qui a trait à toute mesure liée à un nouveau service qui ne peut être classifié dans la Classification centrale de produits provisoire des Nations Unies (CPC), 1991.</w:t>
      </w:r>
      <w:r w:rsidRPr="00FB3DF3">
        <w:rPr>
          <w:rFonts w:ascii="Times New Roman" w:hAnsi="Times New Roman" w:cs="Times New Roman"/>
          <w:sz w:val="20"/>
          <w:szCs w:val="20"/>
        </w:rPr>
        <w:t xml:space="preserve"> </w:t>
      </w:r>
      <w:r>
        <w:rPr>
          <w:rFonts w:ascii="Times New Roman" w:hAnsi="Times New Roman" w:cs="Times New Roman"/>
          <w:sz w:val="20"/>
          <w:szCs w:val="20"/>
        </w:rPr>
        <w:t>(Annexe X, Chapitre 11)</w:t>
      </w:r>
    </w:p>
    <w:p w14:paraId="1DF9662D" w14:textId="040FC348" w:rsidR="00FB3DF3" w:rsidRDefault="00FB3DF3" w:rsidP="00BA43F7">
      <w:pPr>
        <w:spacing w:before="120" w:after="120" w:line="360" w:lineRule="auto"/>
        <w:jc w:val="both"/>
        <w:rPr>
          <w:rFonts w:ascii="Times New Roman" w:hAnsi="Times New Roman" w:cs="Times New Roman"/>
        </w:rPr>
      </w:pPr>
      <w:r>
        <w:rPr>
          <w:rFonts w:ascii="Times New Roman" w:hAnsi="Times New Roman" w:cs="Times New Roman"/>
        </w:rPr>
        <w:t>L’accès au marché pour les fournisseurs de nouveaux servi</w:t>
      </w:r>
      <w:r w:rsidR="00F50DE8">
        <w:rPr>
          <w:rFonts w:ascii="Times New Roman" w:hAnsi="Times New Roman" w:cs="Times New Roman"/>
        </w:rPr>
        <w:t xml:space="preserve">ces n’est donc pas totalement garanti </w:t>
      </w:r>
      <w:r w:rsidR="00D932F3">
        <w:rPr>
          <w:rFonts w:ascii="Times New Roman" w:hAnsi="Times New Roman" w:cs="Times New Roman"/>
        </w:rPr>
        <w:t>(Lévesque 2013</w:t>
      </w:r>
      <w:r>
        <w:rPr>
          <w:rFonts w:ascii="Times New Roman" w:hAnsi="Times New Roman" w:cs="Times New Roman"/>
        </w:rPr>
        <w:t xml:space="preserve"> : 124). </w:t>
      </w:r>
      <w:r w:rsidR="00F16E9B">
        <w:rPr>
          <w:rFonts w:ascii="Times New Roman" w:hAnsi="Times New Roman" w:cs="Times New Roman"/>
        </w:rPr>
        <w:t xml:space="preserve">En d’autres mots, un service totalement nouveau qui ne pourrait être qualifié par aucune catégorie de la CPC n’aurait pas automatiquement accès au marché de l’autre Partie puisqu’il faudrait premièrement lui créer une ligne tarifaire et deuxièmement s’entendre sur sa libéralisation ou non. </w:t>
      </w:r>
    </w:p>
    <w:p w14:paraId="77CC694D" w14:textId="0EB063D9" w:rsidR="003C648D" w:rsidRDefault="0048723F" w:rsidP="00BA43F7">
      <w:pPr>
        <w:spacing w:before="120" w:after="120" w:line="360" w:lineRule="auto"/>
        <w:jc w:val="both"/>
        <w:rPr>
          <w:rFonts w:ascii="Times New Roman" w:hAnsi="Times New Roman" w:cs="Times New Roman"/>
        </w:rPr>
      </w:pPr>
      <w:r>
        <w:rPr>
          <w:rFonts w:ascii="Times New Roman" w:hAnsi="Times New Roman" w:cs="Times New Roman"/>
        </w:rPr>
        <w:t>En plus d</w:t>
      </w:r>
      <w:r w:rsidR="00F16E9B">
        <w:rPr>
          <w:rFonts w:ascii="Times New Roman" w:hAnsi="Times New Roman" w:cs="Times New Roman"/>
        </w:rPr>
        <w:t>e s’être clairement</w:t>
      </w:r>
      <w:r>
        <w:rPr>
          <w:rFonts w:ascii="Times New Roman" w:hAnsi="Times New Roman" w:cs="Times New Roman"/>
        </w:rPr>
        <w:t xml:space="preserve"> inspiré</w:t>
      </w:r>
      <w:r w:rsidR="00F16E9B">
        <w:rPr>
          <w:rFonts w:ascii="Times New Roman" w:hAnsi="Times New Roman" w:cs="Times New Roman"/>
        </w:rPr>
        <w:t>e</w:t>
      </w:r>
      <w:r>
        <w:rPr>
          <w:rFonts w:ascii="Times New Roman" w:hAnsi="Times New Roman" w:cs="Times New Roman"/>
        </w:rPr>
        <w:t xml:space="preserve"> </w:t>
      </w:r>
      <w:r w:rsidR="00F16E9B">
        <w:rPr>
          <w:rFonts w:ascii="Times New Roman" w:hAnsi="Times New Roman" w:cs="Times New Roman"/>
        </w:rPr>
        <w:t xml:space="preserve">de </w:t>
      </w:r>
      <w:r>
        <w:rPr>
          <w:rFonts w:ascii="Times New Roman" w:hAnsi="Times New Roman" w:cs="Times New Roman"/>
        </w:rPr>
        <w:t>l’AGCS</w:t>
      </w:r>
      <w:r w:rsidR="00F16E9B">
        <w:rPr>
          <w:rFonts w:ascii="Times New Roman" w:hAnsi="Times New Roman" w:cs="Times New Roman"/>
        </w:rPr>
        <w:t xml:space="preserve"> pour la formulation de ses normes en lien avec l’établissement</w:t>
      </w:r>
      <w:r w:rsidR="00743719">
        <w:rPr>
          <w:rFonts w:ascii="Times New Roman" w:hAnsi="Times New Roman" w:cs="Times New Roman"/>
        </w:rPr>
        <w:t>,</w:t>
      </w:r>
      <w:r w:rsidR="00F16E9B">
        <w:rPr>
          <w:rFonts w:ascii="Times New Roman" w:hAnsi="Times New Roman" w:cs="Times New Roman"/>
        </w:rPr>
        <w:t xml:space="preserve"> il mérite d’être souligné que la Commission européenne peut aussi avoir été influencée</w:t>
      </w:r>
      <w:r w:rsidR="00743719">
        <w:rPr>
          <w:rFonts w:ascii="Times New Roman" w:hAnsi="Times New Roman" w:cs="Times New Roman"/>
        </w:rPr>
        <w:t xml:space="preserve"> </w:t>
      </w:r>
      <w:r w:rsidR="00F16E9B">
        <w:rPr>
          <w:rFonts w:ascii="Times New Roman" w:hAnsi="Times New Roman" w:cs="Times New Roman"/>
        </w:rPr>
        <w:t>par</w:t>
      </w:r>
      <w:r w:rsidR="00743719">
        <w:rPr>
          <w:rFonts w:ascii="Times New Roman" w:hAnsi="Times New Roman" w:cs="Times New Roman"/>
        </w:rPr>
        <w:t xml:space="preserve"> sa</w:t>
      </w:r>
      <w:r w:rsidR="00E059A5">
        <w:rPr>
          <w:rFonts w:ascii="Times New Roman" w:hAnsi="Times New Roman" w:cs="Times New Roman"/>
        </w:rPr>
        <w:t xml:space="preserve"> négociation parallèle d’un traité bilatéral d’investissement avec la Chine. La Chine, comme les pays membres de l’Union européenne, n’a en effet pas pour pratique de protéger les investissements avant qu’ils ne soient admis sur son territoire et l’Union européenne cherche depuis longtemps à acquérir un meilleur accès à ses </w:t>
      </w:r>
      <w:r w:rsidR="00D932F3">
        <w:rPr>
          <w:rFonts w:ascii="Times New Roman" w:hAnsi="Times New Roman" w:cs="Times New Roman"/>
        </w:rPr>
        <w:t>marchés (Shan et Zhang</w:t>
      </w:r>
      <w:r w:rsidR="00E059A5">
        <w:rPr>
          <w:rFonts w:ascii="Times New Roman" w:hAnsi="Times New Roman" w:cs="Times New Roman"/>
        </w:rPr>
        <w:t xml:space="preserve"> 2012 : 102-103). De plus, le fait que les marchés européens soient déjà relativement beaucoup plus ouverts aux investissements étrangers que la Chine fait en sorte que l’inclusion d’un article sur l’accès au marché devrait bénéficier </w:t>
      </w:r>
      <w:r w:rsidR="00743719">
        <w:rPr>
          <w:rFonts w:ascii="Times New Roman" w:hAnsi="Times New Roman" w:cs="Times New Roman"/>
        </w:rPr>
        <w:t>davantage</w:t>
      </w:r>
      <w:r w:rsidR="00C7252F">
        <w:rPr>
          <w:rFonts w:ascii="Times New Roman" w:hAnsi="Times New Roman" w:cs="Times New Roman"/>
        </w:rPr>
        <w:t xml:space="preserve"> à</w:t>
      </w:r>
      <w:r w:rsidR="00743719">
        <w:rPr>
          <w:rFonts w:ascii="Times New Roman" w:hAnsi="Times New Roman" w:cs="Times New Roman"/>
        </w:rPr>
        <w:t xml:space="preserve"> l’Union européenne qu’à</w:t>
      </w:r>
      <w:r w:rsidR="00D932F3">
        <w:rPr>
          <w:rFonts w:ascii="Times New Roman" w:hAnsi="Times New Roman" w:cs="Times New Roman"/>
        </w:rPr>
        <w:t xml:space="preserve"> la Chine (Shan et Zhang</w:t>
      </w:r>
      <w:r w:rsidR="00E059A5">
        <w:rPr>
          <w:rFonts w:ascii="Times New Roman" w:hAnsi="Times New Roman" w:cs="Times New Roman"/>
        </w:rPr>
        <w:t xml:space="preserve"> 2014 : 445-446). En fait, les pays européens sont généralement significativement plus ouverts aux investissements étrangers que la mo</w:t>
      </w:r>
      <w:r w:rsidR="00D932F3">
        <w:rPr>
          <w:rFonts w:ascii="Times New Roman" w:hAnsi="Times New Roman" w:cs="Times New Roman"/>
        </w:rPr>
        <w:t>yenne des pays de l’OCDE (Shan et Zhang</w:t>
      </w:r>
      <w:r w:rsidR="00E059A5">
        <w:rPr>
          <w:rFonts w:ascii="Times New Roman" w:hAnsi="Times New Roman" w:cs="Times New Roman"/>
        </w:rPr>
        <w:t xml:space="preserve"> 2014 : 445). Cela pourrait donc également expliquer </w:t>
      </w:r>
      <w:r w:rsidR="00ED3A8D">
        <w:rPr>
          <w:rFonts w:ascii="Times New Roman" w:hAnsi="Times New Roman" w:cs="Times New Roman"/>
        </w:rPr>
        <w:t>pourquoi la Commission européenne tente d’inclure cet a</w:t>
      </w:r>
      <w:r w:rsidR="00D7218C">
        <w:rPr>
          <w:rFonts w:ascii="Times New Roman" w:hAnsi="Times New Roman" w:cs="Times New Roman"/>
        </w:rPr>
        <w:t>rticle dans son modèle d’accord.</w:t>
      </w:r>
    </w:p>
    <w:p w14:paraId="2B148FA8" w14:textId="354D55AF" w:rsidR="00AC2E35" w:rsidRDefault="00DC62FE" w:rsidP="00BA43F7">
      <w:pPr>
        <w:spacing w:before="120" w:after="120" w:line="360" w:lineRule="auto"/>
        <w:jc w:val="both"/>
        <w:rPr>
          <w:rFonts w:ascii="Times New Roman" w:hAnsi="Times New Roman" w:cs="Times New Roman"/>
        </w:rPr>
      </w:pPr>
      <w:r>
        <w:rPr>
          <w:rFonts w:ascii="Times New Roman" w:hAnsi="Times New Roman" w:cs="Times New Roman"/>
        </w:rPr>
        <w:lastRenderedPageBreak/>
        <w:t>En lien avec l’établissement, l</w:t>
      </w:r>
      <w:r w:rsidR="00ED3A8D">
        <w:rPr>
          <w:rFonts w:ascii="Times New Roman" w:hAnsi="Times New Roman" w:cs="Times New Roman"/>
        </w:rPr>
        <w:t xml:space="preserve">’AECG </w:t>
      </w:r>
      <w:r w:rsidR="00BC21AB">
        <w:rPr>
          <w:rFonts w:ascii="Times New Roman" w:hAnsi="Times New Roman" w:cs="Times New Roman"/>
        </w:rPr>
        <w:t xml:space="preserve">offre </w:t>
      </w:r>
      <w:r w:rsidR="00743719">
        <w:rPr>
          <w:rFonts w:ascii="Times New Roman" w:hAnsi="Times New Roman" w:cs="Times New Roman"/>
        </w:rPr>
        <w:t xml:space="preserve">aussi </w:t>
      </w:r>
      <w:r>
        <w:rPr>
          <w:rFonts w:ascii="Times New Roman" w:hAnsi="Times New Roman" w:cs="Times New Roman"/>
        </w:rPr>
        <w:t>une garantie</w:t>
      </w:r>
      <w:r w:rsidR="007561E0">
        <w:rPr>
          <w:rFonts w:ascii="Times New Roman" w:hAnsi="Times New Roman" w:cs="Times New Roman"/>
        </w:rPr>
        <w:t xml:space="preserve"> contre les prescriptions de résultat</w:t>
      </w:r>
      <w:r w:rsidR="00C43AFD">
        <w:rPr>
          <w:rFonts w:ascii="Times New Roman" w:hAnsi="Times New Roman" w:cs="Times New Roman"/>
        </w:rPr>
        <w:t>s</w:t>
      </w:r>
      <w:r w:rsidR="00A56791">
        <w:rPr>
          <w:rFonts w:ascii="Times New Roman" w:hAnsi="Times New Roman" w:cs="Times New Roman"/>
        </w:rPr>
        <w:t xml:space="preserve">. </w:t>
      </w:r>
      <w:r>
        <w:rPr>
          <w:rFonts w:ascii="Times New Roman" w:hAnsi="Times New Roman" w:cs="Times New Roman"/>
        </w:rPr>
        <w:t>Pour</w:t>
      </w:r>
      <w:r w:rsidR="00EF6902">
        <w:rPr>
          <w:rFonts w:ascii="Times New Roman" w:hAnsi="Times New Roman" w:cs="Times New Roman"/>
        </w:rPr>
        <w:t xml:space="preserve"> cette dernière,</w:t>
      </w:r>
      <w:r w:rsidR="00A56791">
        <w:rPr>
          <w:rFonts w:ascii="Times New Roman" w:hAnsi="Times New Roman" w:cs="Times New Roman"/>
        </w:rPr>
        <w:t xml:space="preserve"> il est é</w:t>
      </w:r>
      <w:r>
        <w:rPr>
          <w:rFonts w:ascii="Times New Roman" w:hAnsi="Times New Roman" w:cs="Times New Roman"/>
        </w:rPr>
        <w:t>vident que la Commission européenne a imité</w:t>
      </w:r>
      <w:r w:rsidR="00A56791">
        <w:rPr>
          <w:rFonts w:ascii="Times New Roman" w:hAnsi="Times New Roman" w:cs="Times New Roman"/>
        </w:rPr>
        <w:t xml:space="preserve"> la pratique nord-américaine depuis l’adoption de l’ALENA</w:t>
      </w:r>
      <w:r w:rsidR="007561E0">
        <w:rPr>
          <w:rFonts w:ascii="Times New Roman" w:hAnsi="Times New Roman" w:cs="Times New Roman"/>
        </w:rPr>
        <w:t xml:space="preserve"> (</w:t>
      </w:r>
      <w:r w:rsidR="00D932F3" w:rsidRPr="00D932F3">
        <w:rPr>
          <w:rFonts w:ascii="Times New Roman" w:hAnsi="Times New Roman" w:cs="Times New Roman"/>
        </w:rPr>
        <w:t>Bernasconi-</w:t>
      </w:r>
      <w:proofErr w:type="spellStart"/>
      <w:r w:rsidR="00D932F3" w:rsidRPr="00D932F3">
        <w:rPr>
          <w:rFonts w:ascii="Times New Roman" w:hAnsi="Times New Roman" w:cs="Times New Roman"/>
        </w:rPr>
        <w:t>Osterwalder</w:t>
      </w:r>
      <w:proofErr w:type="spellEnd"/>
      <w:r w:rsidR="00D932F3">
        <w:rPr>
          <w:rFonts w:ascii="Times New Roman" w:hAnsi="Times New Roman" w:cs="Times New Roman"/>
        </w:rPr>
        <w:t xml:space="preserve"> </w:t>
      </w:r>
      <w:r w:rsidR="007561E0">
        <w:rPr>
          <w:rFonts w:ascii="Times New Roman" w:hAnsi="Times New Roman" w:cs="Times New Roman"/>
        </w:rPr>
        <w:t xml:space="preserve">2013 : 13). </w:t>
      </w:r>
      <w:r w:rsidR="00A56791">
        <w:rPr>
          <w:rFonts w:ascii="Times New Roman" w:hAnsi="Times New Roman" w:cs="Times New Roman"/>
        </w:rPr>
        <w:t xml:space="preserve">La comparaison avec l’ALECC confirme d’ailleurs ce point puisque son article est pratiquement identique à celui de l’AECG. </w:t>
      </w:r>
      <w:r w:rsidR="005E31D3">
        <w:rPr>
          <w:rFonts w:ascii="Times New Roman" w:hAnsi="Times New Roman" w:cs="Times New Roman"/>
        </w:rPr>
        <w:t xml:space="preserve">Le fait qu’un tel article </w:t>
      </w:r>
      <w:r w:rsidR="00C7252F">
        <w:rPr>
          <w:rFonts w:ascii="Times New Roman" w:hAnsi="Times New Roman" w:cs="Times New Roman"/>
        </w:rPr>
        <w:t xml:space="preserve">soit absent de </w:t>
      </w:r>
      <w:r w:rsidR="005E31D3">
        <w:rPr>
          <w:rFonts w:ascii="Times New Roman" w:hAnsi="Times New Roman" w:cs="Times New Roman"/>
        </w:rPr>
        <w:t>l’ALEUES met cependant en doute sa réelle inclusion au sein du modèle européen. Toutefois, une fois présent dans l’AECG, il serait étonnant que la Commission européenne arrive à l’exclure du Partenariat transatlantique qu’elle négocie avec les États-Unis puisque ces derniers voudront certainement avoir un a</w:t>
      </w:r>
      <w:r w:rsidR="007561E0">
        <w:rPr>
          <w:rFonts w:ascii="Times New Roman" w:hAnsi="Times New Roman" w:cs="Times New Roman"/>
        </w:rPr>
        <w:t>ccord de la même envergure que</w:t>
      </w:r>
      <w:r w:rsidR="00C7252F">
        <w:rPr>
          <w:rFonts w:ascii="Times New Roman" w:hAnsi="Times New Roman" w:cs="Times New Roman"/>
        </w:rPr>
        <w:t xml:space="preserve"> celui</w:t>
      </w:r>
      <w:r w:rsidR="007561E0">
        <w:rPr>
          <w:rFonts w:ascii="Times New Roman" w:hAnsi="Times New Roman" w:cs="Times New Roman"/>
        </w:rPr>
        <w:t xml:space="preserve"> signé avec le</w:t>
      </w:r>
      <w:r w:rsidR="005E31D3">
        <w:rPr>
          <w:rFonts w:ascii="Times New Roman" w:hAnsi="Times New Roman" w:cs="Times New Roman"/>
        </w:rPr>
        <w:t xml:space="preserve"> Canada.</w:t>
      </w:r>
      <w:r w:rsidR="007561E0">
        <w:rPr>
          <w:rFonts w:ascii="Times New Roman" w:hAnsi="Times New Roman" w:cs="Times New Roman"/>
        </w:rPr>
        <w:t xml:space="preserve"> Si cela se réalisait, il </w:t>
      </w:r>
      <w:r w:rsidR="00C43AFD">
        <w:rPr>
          <w:rFonts w:ascii="Times New Roman" w:hAnsi="Times New Roman" w:cs="Times New Roman"/>
        </w:rPr>
        <w:t xml:space="preserve">est permis de croire </w:t>
      </w:r>
      <w:r w:rsidR="00C7252F">
        <w:rPr>
          <w:rFonts w:ascii="Times New Roman" w:hAnsi="Times New Roman" w:cs="Times New Roman"/>
        </w:rPr>
        <w:t>que la Commission européenne</w:t>
      </w:r>
      <w:r w:rsidR="00A56791">
        <w:rPr>
          <w:rFonts w:ascii="Times New Roman" w:hAnsi="Times New Roman" w:cs="Times New Roman"/>
        </w:rPr>
        <w:t xml:space="preserve"> </w:t>
      </w:r>
      <w:r w:rsidR="00C43AFD">
        <w:rPr>
          <w:rFonts w:ascii="Times New Roman" w:hAnsi="Times New Roman" w:cs="Times New Roman"/>
        </w:rPr>
        <w:t>acceptera d’</w:t>
      </w:r>
      <w:r w:rsidR="00A56791">
        <w:rPr>
          <w:rFonts w:ascii="Times New Roman" w:hAnsi="Times New Roman" w:cs="Times New Roman"/>
        </w:rPr>
        <w:t>incorpore</w:t>
      </w:r>
      <w:r w:rsidR="00C43AFD">
        <w:rPr>
          <w:rFonts w:ascii="Times New Roman" w:hAnsi="Times New Roman" w:cs="Times New Roman"/>
        </w:rPr>
        <w:t>r</w:t>
      </w:r>
      <w:r w:rsidR="00A56791">
        <w:rPr>
          <w:rFonts w:ascii="Times New Roman" w:hAnsi="Times New Roman" w:cs="Times New Roman"/>
        </w:rPr>
        <w:t xml:space="preserve"> cette </w:t>
      </w:r>
      <w:r w:rsidR="00C43AFD">
        <w:rPr>
          <w:rFonts w:ascii="Times New Roman" w:hAnsi="Times New Roman" w:cs="Times New Roman"/>
        </w:rPr>
        <w:t>disposition</w:t>
      </w:r>
      <w:r w:rsidR="007561E0">
        <w:rPr>
          <w:rFonts w:ascii="Times New Roman" w:hAnsi="Times New Roman" w:cs="Times New Roman"/>
        </w:rPr>
        <w:t xml:space="preserve"> dans ses futurs traités</w:t>
      </w:r>
      <w:r w:rsidR="00C43AFD">
        <w:rPr>
          <w:rFonts w:ascii="Times New Roman" w:hAnsi="Times New Roman" w:cs="Times New Roman"/>
        </w:rPr>
        <w:t xml:space="preserve">. </w:t>
      </w:r>
    </w:p>
    <w:p w14:paraId="268145B2" w14:textId="1276AABB" w:rsidR="00E05E4E" w:rsidRPr="0091332B" w:rsidRDefault="00E05E4E" w:rsidP="004F762A">
      <w:pPr>
        <w:pStyle w:val="Titre3"/>
        <w:rPr>
          <w:rFonts w:ascii="Times New Roman" w:hAnsi="Times New Roman" w:cs="Times New Roman"/>
          <w:b w:val="0"/>
          <w:i/>
          <w:color w:val="auto"/>
          <w:sz w:val="26"/>
          <w:szCs w:val="26"/>
        </w:rPr>
      </w:pPr>
      <w:bookmarkStart w:id="18" w:name="_Toc313471470"/>
      <w:r w:rsidRPr="0091332B">
        <w:rPr>
          <w:rFonts w:ascii="Times New Roman" w:hAnsi="Times New Roman" w:cs="Times New Roman"/>
          <w:b w:val="0"/>
          <w:i/>
          <w:color w:val="auto"/>
          <w:sz w:val="26"/>
          <w:szCs w:val="26"/>
        </w:rPr>
        <w:t>4.2.2 Une adoption incomplète des normes de non-discrimination américaine</w:t>
      </w:r>
      <w:bookmarkEnd w:id="18"/>
    </w:p>
    <w:p w14:paraId="457C0838" w14:textId="3BE00DCB" w:rsidR="002901AA" w:rsidRDefault="00C7252F" w:rsidP="00BA43F7">
      <w:pPr>
        <w:spacing w:before="120" w:after="120" w:line="360" w:lineRule="auto"/>
        <w:jc w:val="both"/>
        <w:rPr>
          <w:rFonts w:ascii="Times New Roman" w:hAnsi="Times New Roman" w:cs="Times New Roman"/>
        </w:rPr>
      </w:pPr>
      <w:r>
        <w:rPr>
          <w:rFonts w:ascii="Times New Roman" w:hAnsi="Times New Roman" w:cs="Times New Roman"/>
        </w:rPr>
        <w:t>E</w:t>
      </w:r>
      <w:r w:rsidR="00FA1BB7">
        <w:rPr>
          <w:rFonts w:ascii="Times New Roman" w:hAnsi="Times New Roman" w:cs="Times New Roman"/>
        </w:rPr>
        <w:t>n ce qui concerne les garanties de non-discrimination, trois</w:t>
      </w:r>
      <w:r>
        <w:rPr>
          <w:rFonts w:ascii="Times New Roman" w:hAnsi="Times New Roman" w:cs="Times New Roman"/>
        </w:rPr>
        <w:t xml:space="preserve"> points</w:t>
      </w:r>
      <w:r w:rsidR="00FA1BB7">
        <w:rPr>
          <w:rFonts w:ascii="Times New Roman" w:hAnsi="Times New Roman" w:cs="Times New Roman"/>
        </w:rPr>
        <w:t xml:space="preserve"> retiennent l’attention. Premièrement, </w:t>
      </w:r>
      <w:r w:rsidR="005528D5">
        <w:rPr>
          <w:rFonts w:ascii="Times New Roman" w:hAnsi="Times New Roman" w:cs="Times New Roman"/>
        </w:rPr>
        <w:t xml:space="preserve">la Commission européenne reprend sensiblement la même formulation pour la garantie de traitement national que celle de ses États membres. </w:t>
      </w:r>
      <w:r w:rsidR="00A56791">
        <w:rPr>
          <w:rFonts w:ascii="Times New Roman" w:hAnsi="Times New Roman" w:cs="Times New Roman"/>
        </w:rPr>
        <w:t>Selon les termes de l’AECG, un</w:t>
      </w:r>
      <w:r w:rsidR="0008762B">
        <w:rPr>
          <w:rFonts w:ascii="Times New Roman" w:hAnsi="Times New Roman" w:cs="Times New Roman"/>
        </w:rPr>
        <w:t xml:space="preserve"> État partie ne peut</w:t>
      </w:r>
      <w:r w:rsidR="00A56791">
        <w:rPr>
          <w:rFonts w:ascii="Times New Roman" w:hAnsi="Times New Roman" w:cs="Times New Roman"/>
        </w:rPr>
        <w:t xml:space="preserve"> donc</w:t>
      </w:r>
      <w:r w:rsidR="0008762B">
        <w:rPr>
          <w:rFonts w:ascii="Times New Roman" w:hAnsi="Times New Roman" w:cs="Times New Roman"/>
        </w:rPr>
        <w:t xml:space="preserve"> offrir un meilleur traitement à ses investisseurs et </w:t>
      </w:r>
      <w:r w:rsidR="00C43AFD">
        <w:rPr>
          <w:rFonts w:ascii="Times New Roman" w:hAnsi="Times New Roman" w:cs="Times New Roman"/>
        </w:rPr>
        <w:t xml:space="preserve">à </w:t>
      </w:r>
      <w:r w:rsidR="0008762B">
        <w:rPr>
          <w:rFonts w:ascii="Times New Roman" w:hAnsi="Times New Roman" w:cs="Times New Roman"/>
        </w:rPr>
        <w:t xml:space="preserve">leurs investissements que celui </w:t>
      </w:r>
      <w:r>
        <w:rPr>
          <w:rFonts w:ascii="Times New Roman" w:hAnsi="Times New Roman" w:cs="Times New Roman"/>
        </w:rPr>
        <w:t>offert</w:t>
      </w:r>
      <w:r w:rsidR="0008762B">
        <w:rPr>
          <w:rFonts w:ascii="Times New Roman" w:hAnsi="Times New Roman" w:cs="Times New Roman"/>
        </w:rPr>
        <w:t xml:space="preserve"> à ceux de l’autre État partie dans une même situation (</w:t>
      </w:r>
      <w:r w:rsidR="00D0032F">
        <w:rPr>
          <w:rFonts w:ascii="Times New Roman" w:hAnsi="Times New Roman" w:cs="Times New Roman"/>
        </w:rPr>
        <w:t xml:space="preserve">chapitre 10, </w:t>
      </w:r>
      <w:r w:rsidR="00EF6902">
        <w:rPr>
          <w:rFonts w:ascii="Times New Roman" w:hAnsi="Times New Roman" w:cs="Times New Roman"/>
        </w:rPr>
        <w:t>art. X. 6</w:t>
      </w:r>
      <w:r w:rsidR="0008762B">
        <w:rPr>
          <w:rFonts w:ascii="Times New Roman" w:hAnsi="Times New Roman" w:cs="Times New Roman"/>
        </w:rPr>
        <w:t xml:space="preserve">). Sachant le manque d’uniformité au sein de la jurisprudence </w:t>
      </w:r>
      <w:r w:rsidR="00A56791">
        <w:rPr>
          <w:rFonts w:ascii="Times New Roman" w:hAnsi="Times New Roman" w:cs="Times New Roman"/>
        </w:rPr>
        <w:t>sur la question de l’interprétation</w:t>
      </w:r>
      <w:r w:rsidR="0008762B">
        <w:rPr>
          <w:rFonts w:ascii="Times New Roman" w:hAnsi="Times New Roman" w:cs="Times New Roman"/>
        </w:rPr>
        <w:t xml:space="preserve"> p</w:t>
      </w:r>
      <w:r w:rsidR="00A56791">
        <w:rPr>
          <w:rFonts w:ascii="Times New Roman" w:hAnsi="Times New Roman" w:cs="Times New Roman"/>
        </w:rPr>
        <w:t>arfois très large</w:t>
      </w:r>
      <w:r w:rsidR="0008762B">
        <w:rPr>
          <w:rFonts w:ascii="Times New Roman" w:hAnsi="Times New Roman" w:cs="Times New Roman"/>
        </w:rPr>
        <w:t xml:space="preserve"> </w:t>
      </w:r>
      <w:r w:rsidR="00A56791">
        <w:rPr>
          <w:rFonts w:ascii="Times New Roman" w:hAnsi="Times New Roman" w:cs="Times New Roman"/>
        </w:rPr>
        <w:t xml:space="preserve">du concept de </w:t>
      </w:r>
      <w:r w:rsidR="0008762B" w:rsidRPr="00A56791">
        <w:rPr>
          <w:rFonts w:ascii="Times New Roman" w:hAnsi="Times New Roman" w:cs="Times New Roman"/>
          <w:i/>
        </w:rPr>
        <w:t>situation similaire</w:t>
      </w:r>
      <w:r w:rsidR="00F45FCA">
        <w:rPr>
          <w:rStyle w:val="Marquenotebasdepage"/>
          <w:rFonts w:ascii="Times New Roman" w:hAnsi="Times New Roman" w:cs="Times New Roman"/>
          <w:i/>
        </w:rPr>
        <w:footnoteReference w:id="3"/>
      </w:r>
      <w:r w:rsidR="002901AA">
        <w:rPr>
          <w:rFonts w:ascii="Times New Roman" w:hAnsi="Times New Roman" w:cs="Times New Roman"/>
        </w:rPr>
        <w:t xml:space="preserve">, il est </w:t>
      </w:r>
      <w:r w:rsidR="0008762B">
        <w:rPr>
          <w:rFonts w:ascii="Times New Roman" w:hAnsi="Times New Roman" w:cs="Times New Roman"/>
        </w:rPr>
        <w:t xml:space="preserve">étonnant que la Commission européenne n’ait pas tenté de clarifier et </w:t>
      </w:r>
      <w:r w:rsidR="002901AA">
        <w:rPr>
          <w:rFonts w:ascii="Times New Roman" w:hAnsi="Times New Roman" w:cs="Times New Roman"/>
        </w:rPr>
        <w:t>de mieux qualifier ce concept à la base de la comparaison entre les investisseurs natio</w:t>
      </w:r>
      <w:r w:rsidR="008A1973">
        <w:rPr>
          <w:rFonts w:ascii="Times New Roman" w:hAnsi="Times New Roman" w:cs="Times New Roman"/>
        </w:rPr>
        <w:t>naux et étrangers (</w:t>
      </w:r>
      <w:proofErr w:type="spellStart"/>
      <w:r w:rsidR="008A1973">
        <w:rPr>
          <w:rFonts w:ascii="Times New Roman" w:hAnsi="Times New Roman" w:cs="Times New Roman"/>
        </w:rPr>
        <w:t>Hoffmeister</w:t>
      </w:r>
      <w:proofErr w:type="spellEnd"/>
      <w:r w:rsidR="008A1973">
        <w:rPr>
          <w:rFonts w:ascii="Times New Roman" w:hAnsi="Times New Roman" w:cs="Times New Roman"/>
        </w:rPr>
        <w:t xml:space="preserve"> et </w:t>
      </w:r>
      <w:proofErr w:type="spellStart"/>
      <w:r w:rsidR="008A1973">
        <w:rPr>
          <w:rFonts w:ascii="Times New Roman" w:hAnsi="Times New Roman" w:cs="Times New Roman"/>
        </w:rPr>
        <w:t>Alexandru</w:t>
      </w:r>
      <w:proofErr w:type="spellEnd"/>
      <w:r w:rsidR="002901AA">
        <w:rPr>
          <w:rFonts w:ascii="Times New Roman" w:hAnsi="Times New Roman" w:cs="Times New Roman"/>
        </w:rPr>
        <w:t xml:space="preserve"> 2014 : 387). Les seuls changements</w:t>
      </w:r>
      <w:r w:rsidR="009475E0">
        <w:rPr>
          <w:rFonts w:ascii="Times New Roman" w:hAnsi="Times New Roman" w:cs="Times New Roman"/>
        </w:rPr>
        <w:t>, malgré tout significatifs,</w:t>
      </w:r>
      <w:r w:rsidR="002901AA">
        <w:rPr>
          <w:rFonts w:ascii="Times New Roman" w:hAnsi="Times New Roman" w:cs="Times New Roman"/>
        </w:rPr>
        <w:t xml:space="preserve"> sont que le traitement national est maintenant élargi à la période pré-établissement et qu’il fonctionne à l</w:t>
      </w:r>
      <w:r w:rsidR="00F45FCA">
        <w:rPr>
          <w:rFonts w:ascii="Times New Roman" w:hAnsi="Times New Roman" w:cs="Times New Roman"/>
        </w:rPr>
        <w:t>’aide d’une approche négative. T</w:t>
      </w:r>
      <w:r w:rsidR="002901AA">
        <w:rPr>
          <w:rFonts w:ascii="Times New Roman" w:hAnsi="Times New Roman" w:cs="Times New Roman"/>
        </w:rPr>
        <w:t xml:space="preserve">el que cela a été indiqué lors de l’analyse de la définition d’investissement et de </w:t>
      </w:r>
      <w:r w:rsidR="00F45FCA">
        <w:rPr>
          <w:rFonts w:ascii="Times New Roman" w:hAnsi="Times New Roman" w:cs="Times New Roman"/>
        </w:rPr>
        <w:t>l’article sur l’accès au marché, ces modifications copient l</w:t>
      </w:r>
      <w:r w:rsidR="00C43AFD">
        <w:rPr>
          <w:rFonts w:ascii="Times New Roman" w:hAnsi="Times New Roman" w:cs="Times New Roman"/>
        </w:rPr>
        <w:t>es</w:t>
      </w:r>
      <w:r w:rsidR="00F45FCA">
        <w:rPr>
          <w:rFonts w:ascii="Times New Roman" w:hAnsi="Times New Roman" w:cs="Times New Roman"/>
        </w:rPr>
        <w:t xml:space="preserve"> pratique</w:t>
      </w:r>
      <w:r w:rsidR="00C43AFD">
        <w:rPr>
          <w:rFonts w:ascii="Times New Roman" w:hAnsi="Times New Roman" w:cs="Times New Roman"/>
        </w:rPr>
        <w:t>s</w:t>
      </w:r>
      <w:r w:rsidR="00F45FCA">
        <w:rPr>
          <w:rFonts w:ascii="Times New Roman" w:hAnsi="Times New Roman" w:cs="Times New Roman"/>
        </w:rPr>
        <w:t xml:space="preserve"> du Canada et des États-Unis.</w:t>
      </w:r>
    </w:p>
    <w:p w14:paraId="4CFA0652" w14:textId="0571A37B" w:rsidR="00D86012" w:rsidRDefault="009475E0" w:rsidP="00BA43F7">
      <w:pPr>
        <w:spacing w:before="120" w:after="120" w:line="360" w:lineRule="auto"/>
        <w:jc w:val="both"/>
        <w:rPr>
          <w:rFonts w:ascii="Times New Roman" w:hAnsi="Times New Roman" w:cs="Times New Roman"/>
        </w:rPr>
      </w:pPr>
      <w:r>
        <w:rPr>
          <w:rFonts w:ascii="Times New Roman" w:hAnsi="Times New Roman" w:cs="Times New Roman"/>
        </w:rPr>
        <w:t>D</w:t>
      </w:r>
      <w:r w:rsidR="00F45FCA">
        <w:rPr>
          <w:rFonts w:ascii="Times New Roman" w:hAnsi="Times New Roman" w:cs="Times New Roman"/>
        </w:rPr>
        <w:t xml:space="preserve">euxièmement, une clause NPF se retrouve </w:t>
      </w:r>
      <w:r>
        <w:rPr>
          <w:rFonts w:ascii="Times New Roman" w:hAnsi="Times New Roman" w:cs="Times New Roman"/>
        </w:rPr>
        <w:t>au sein de l’</w:t>
      </w:r>
      <w:r w:rsidR="00A23F9F">
        <w:rPr>
          <w:rFonts w:ascii="Times New Roman" w:hAnsi="Times New Roman" w:cs="Times New Roman"/>
        </w:rPr>
        <w:t>AECG</w:t>
      </w:r>
      <w:r w:rsidR="00F45FCA">
        <w:rPr>
          <w:rFonts w:ascii="Times New Roman" w:hAnsi="Times New Roman" w:cs="Times New Roman"/>
        </w:rPr>
        <w:t>, mais pas de</w:t>
      </w:r>
      <w:r w:rsidR="00D86012">
        <w:rPr>
          <w:rFonts w:ascii="Times New Roman" w:hAnsi="Times New Roman" w:cs="Times New Roman"/>
        </w:rPr>
        <w:t xml:space="preserve"> l’ALEUES</w:t>
      </w:r>
      <w:r w:rsidR="00F45FCA">
        <w:rPr>
          <w:rFonts w:ascii="Times New Roman" w:hAnsi="Times New Roman" w:cs="Times New Roman"/>
        </w:rPr>
        <w:t>. Cette absence</w:t>
      </w:r>
      <w:r w:rsidR="00D86012">
        <w:rPr>
          <w:rFonts w:ascii="Times New Roman" w:hAnsi="Times New Roman" w:cs="Times New Roman"/>
        </w:rPr>
        <w:t xml:space="preserve"> est </w:t>
      </w:r>
      <w:r w:rsidR="00F45FCA">
        <w:rPr>
          <w:rFonts w:ascii="Times New Roman" w:hAnsi="Times New Roman" w:cs="Times New Roman"/>
        </w:rPr>
        <w:t>t</w:t>
      </w:r>
      <w:r w:rsidR="00D86012">
        <w:rPr>
          <w:rFonts w:ascii="Times New Roman" w:hAnsi="Times New Roman" w:cs="Times New Roman"/>
        </w:rPr>
        <w:t>roublante</w:t>
      </w:r>
      <w:r w:rsidR="00F16E9B">
        <w:rPr>
          <w:rFonts w:ascii="Times New Roman" w:hAnsi="Times New Roman" w:cs="Times New Roman"/>
        </w:rPr>
        <w:t>, mais il serait étonnant qu’elle se reproduise</w:t>
      </w:r>
      <w:r w:rsidR="00F45FCA">
        <w:rPr>
          <w:rFonts w:ascii="Times New Roman" w:hAnsi="Times New Roman" w:cs="Times New Roman"/>
        </w:rPr>
        <w:t xml:space="preserve"> puisque cette clause est pratiquement devenu</w:t>
      </w:r>
      <w:r w:rsidR="00C7252F">
        <w:rPr>
          <w:rFonts w:ascii="Times New Roman" w:hAnsi="Times New Roman" w:cs="Times New Roman"/>
        </w:rPr>
        <w:t>e</w:t>
      </w:r>
      <w:r w:rsidR="00F45FCA">
        <w:rPr>
          <w:rFonts w:ascii="Times New Roman" w:hAnsi="Times New Roman" w:cs="Times New Roman"/>
        </w:rPr>
        <w:t xml:space="preserve"> un incontournable au sein du droit international des investissements</w:t>
      </w:r>
      <w:r w:rsidR="00D86012">
        <w:rPr>
          <w:rFonts w:ascii="Times New Roman" w:hAnsi="Times New Roman" w:cs="Times New Roman"/>
        </w:rPr>
        <w:t>.</w:t>
      </w:r>
      <w:r w:rsidR="00F16E9B">
        <w:rPr>
          <w:rFonts w:ascii="Times New Roman" w:hAnsi="Times New Roman" w:cs="Times New Roman"/>
        </w:rPr>
        <w:t xml:space="preserve"> Sa présence dans l’AECG confirme d’ailleurs qu’il y a peu de chance de voir </w:t>
      </w:r>
      <w:proofErr w:type="spellStart"/>
      <w:r w:rsidR="00F16E9B">
        <w:rPr>
          <w:rFonts w:ascii="Times New Roman" w:hAnsi="Times New Roman" w:cs="Times New Roman"/>
        </w:rPr>
        <w:t>disparaître</w:t>
      </w:r>
      <w:proofErr w:type="spellEnd"/>
      <w:r w:rsidR="00F16E9B">
        <w:rPr>
          <w:rFonts w:ascii="Times New Roman" w:hAnsi="Times New Roman" w:cs="Times New Roman"/>
        </w:rPr>
        <w:t xml:space="preserve"> cette clause </w:t>
      </w:r>
      <w:r w:rsidR="00F16E9B">
        <w:rPr>
          <w:rFonts w:ascii="Times New Roman" w:hAnsi="Times New Roman" w:cs="Times New Roman"/>
        </w:rPr>
        <w:lastRenderedPageBreak/>
        <w:t>des traités européens. C</w:t>
      </w:r>
      <w:r w:rsidR="005567DE">
        <w:rPr>
          <w:rFonts w:ascii="Times New Roman" w:hAnsi="Times New Roman" w:cs="Times New Roman"/>
        </w:rPr>
        <w:t xml:space="preserve">omme pour le traitement national, la clause NPF dans l’AECG s’étend maintenant à la période pré-investissement et fonctionne selon l’approche négative. Mis à part </w:t>
      </w:r>
      <w:r w:rsidR="00082DB2">
        <w:rPr>
          <w:rFonts w:ascii="Times New Roman" w:hAnsi="Times New Roman" w:cs="Times New Roman"/>
        </w:rPr>
        <w:t>cela</w:t>
      </w:r>
      <w:r w:rsidR="005567DE">
        <w:rPr>
          <w:rFonts w:ascii="Times New Roman" w:hAnsi="Times New Roman" w:cs="Times New Roman"/>
        </w:rPr>
        <w:t xml:space="preserve">, </w:t>
      </w:r>
      <w:r w:rsidR="00082DB2">
        <w:rPr>
          <w:rFonts w:ascii="Times New Roman" w:hAnsi="Times New Roman" w:cs="Times New Roman"/>
        </w:rPr>
        <w:t xml:space="preserve">la clause NPF de l’AECG contient deux particularités notables. </w:t>
      </w:r>
      <w:r w:rsidR="00C7252F">
        <w:rPr>
          <w:rFonts w:ascii="Times New Roman" w:hAnsi="Times New Roman" w:cs="Times New Roman"/>
        </w:rPr>
        <w:t>La première concerne</w:t>
      </w:r>
      <w:r w:rsidR="00082DB2">
        <w:rPr>
          <w:rFonts w:ascii="Times New Roman" w:hAnsi="Times New Roman" w:cs="Times New Roman"/>
        </w:rPr>
        <w:t xml:space="preserve"> l’exclusion des règles en lien avec l’arbitrage investisseur – État de son champ d’application</w:t>
      </w:r>
      <w:r w:rsidR="00C7252F">
        <w:rPr>
          <w:rFonts w:ascii="Times New Roman" w:hAnsi="Times New Roman" w:cs="Times New Roman"/>
        </w:rPr>
        <w:t>, ce qui</w:t>
      </w:r>
      <w:r w:rsidR="00082DB2">
        <w:rPr>
          <w:rFonts w:ascii="Times New Roman" w:hAnsi="Times New Roman" w:cs="Times New Roman"/>
        </w:rPr>
        <w:t xml:space="preserve"> est </w:t>
      </w:r>
      <w:r w:rsidR="00C43AFD">
        <w:rPr>
          <w:rFonts w:ascii="Times New Roman" w:hAnsi="Times New Roman" w:cs="Times New Roman"/>
        </w:rPr>
        <w:t xml:space="preserve">une </w:t>
      </w:r>
      <w:r w:rsidR="00082DB2">
        <w:rPr>
          <w:rFonts w:ascii="Times New Roman" w:hAnsi="Times New Roman" w:cs="Times New Roman"/>
        </w:rPr>
        <w:t>nouvelle</w:t>
      </w:r>
      <w:r w:rsidR="00A30DFF">
        <w:rPr>
          <w:rFonts w:ascii="Times New Roman" w:hAnsi="Times New Roman" w:cs="Times New Roman"/>
        </w:rPr>
        <w:t xml:space="preserve"> pratique</w:t>
      </w:r>
      <w:r w:rsidR="00082DB2">
        <w:rPr>
          <w:rFonts w:ascii="Times New Roman" w:hAnsi="Times New Roman" w:cs="Times New Roman"/>
        </w:rPr>
        <w:t xml:space="preserve"> </w:t>
      </w:r>
      <w:r w:rsidR="00A30DFF">
        <w:rPr>
          <w:rFonts w:ascii="Times New Roman" w:hAnsi="Times New Roman" w:cs="Times New Roman"/>
        </w:rPr>
        <w:t>pour les</w:t>
      </w:r>
      <w:r w:rsidR="00082DB2">
        <w:rPr>
          <w:rFonts w:ascii="Times New Roman" w:hAnsi="Times New Roman" w:cs="Times New Roman"/>
        </w:rPr>
        <w:t xml:space="preserve"> États européens. </w:t>
      </w:r>
      <w:r w:rsidR="000F342A">
        <w:rPr>
          <w:rFonts w:ascii="Times New Roman" w:hAnsi="Times New Roman" w:cs="Times New Roman"/>
        </w:rPr>
        <w:t>Ce choix est évidemment une réaction à l</w:t>
      </w:r>
      <w:r w:rsidR="00A23F9F">
        <w:rPr>
          <w:rFonts w:ascii="Times New Roman" w:hAnsi="Times New Roman" w:cs="Times New Roman"/>
        </w:rPr>
        <w:t>a jurisprudence qui s’est développée dans la foulée de l’</w:t>
      </w:r>
      <w:r w:rsidR="000F342A">
        <w:rPr>
          <w:rFonts w:ascii="Times New Roman" w:hAnsi="Times New Roman" w:cs="Times New Roman"/>
        </w:rPr>
        <w:t xml:space="preserve">affaire </w:t>
      </w:r>
      <w:proofErr w:type="spellStart"/>
      <w:r w:rsidR="000F342A">
        <w:rPr>
          <w:rFonts w:ascii="Times New Roman" w:hAnsi="Times New Roman" w:cs="Times New Roman"/>
          <w:i/>
        </w:rPr>
        <w:t>Maffezini</w:t>
      </w:r>
      <w:proofErr w:type="spellEnd"/>
      <w:r w:rsidR="000F342A">
        <w:rPr>
          <w:rFonts w:ascii="Times New Roman" w:hAnsi="Times New Roman" w:cs="Times New Roman"/>
          <w:i/>
        </w:rPr>
        <w:t xml:space="preserve"> </w:t>
      </w:r>
      <w:r w:rsidR="000F342A">
        <w:rPr>
          <w:rFonts w:ascii="Times New Roman" w:hAnsi="Times New Roman" w:cs="Times New Roman"/>
        </w:rPr>
        <w:t>où le tribunal</w:t>
      </w:r>
      <w:r w:rsidR="00A23F9F">
        <w:rPr>
          <w:rFonts w:ascii="Times New Roman" w:hAnsi="Times New Roman" w:cs="Times New Roman"/>
        </w:rPr>
        <w:t xml:space="preserve"> avait</w:t>
      </w:r>
      <w:r w:rsidR="000F342A">
        <w:rPr>
          <w:rFonts w:ascii="Times New Roman" w:hAnsi="Times New Roman" w:cs="Times New Roman"/>
        </w:rPr>
        <w:t xml:space="preserve"> permis </w:t>
      </w:r>
      <w:r w:rsidR="00A23F9F">
        <w:rPr>
          <w:rFonts w:ascii="Times New Roman" w:hAnsi="Times New Roman" w:cs="Times New Roman"/>
        </w:rPr>
        <w:t xml:space="preserve">à un </w:t>
      </w:r>
      <w:r w:rsidR="000F342A">
        <w:rPr>
          <w:rFonts w:ascii="Times New Roman" w:hAnsi="Times New Roman" w:cs="Times New Roman"/>
        </w:rPr>
        <w:t xml:space="preserve">investisseur de contourner </w:t>
      </w:r>
      <w:r w:rsidR="005567DE">
        <w:rPr>
          <w:rFonts w:ascii="Times New Roman" w:hAnsi="Times New Roman" w:cs="Times New Roman"/>
        </w:rPr>
        <w:t>l’</w:t>
      </w:r>
      <w:r w:rsidR="000F342A">
        <w:rPr>
          <w:rFonts w:ascii="Times New Roman" w:hAnsi="Times New Roman" w:cs="Times New Roman"/>
        </w:rPr>
        <w:t xml:space="preserve">obligation d’épuiser les recours internes à l’aide </w:t>
      </w:r>
      <w:r w:rsidR="00A23F9F">
        <w:rPr>
          <w:rFonts w:ascii="Times New Roman" w:hAnsi="Times New Roman" w:cs="Times New Roman"/>
        </w:rPr>
        <w:t>de la clause de la</w:t>
      </w:r>
      <w:r w:rsidR="008A1973">
        <w:rPr>
          <w:rFonts w:ascii="Times New Roman" w:hAnsi="Times New Roman" w:cs="Times New Roman"/>
        </w:rPr>
        <w:t xml:space="preserve"> nation la plus favorisée (2000 :</w:t>
      </w:r>
      <w:r w:rsidR="00A23F9F">
        <w:rPr>
          <w:rFonts w:ascii="Times New Roman" w:hAnsi="Times New Roman" w:cs="Times New Roman"/>
        </w:rPr>
        <w:t xml:space="preserve"> pa</w:t>
      </w:r>
      <w:r w:rsidR="008A1973">
        <w:rPr>
          <w:rFonts w:ascii="Times New Roman" w:hAnsi="Times New Roman" w:cs="Times New Roman"/>
        </w:rPr>
        <w:t xml:space="preserve">ra. 64; </w:t>
      </w:r>
      <w:proofErr w:type="spellStart"/>
      <w:r w:rsidR="008A1973">
        <w:rPr>
          <w:rFonts w:ascii="Times New Roman" w:hAnsi="Times New Roman" w:cs="Times New Roman"/>
        </w:rPr>
        <w:t>Reinisch</w:t>
      </w:r>
      <w:proofErr w:type="spellEnd"/>
      <w:r w:rsidR="005567DE">
        <w:rPr>
          <w:rFonts w:ascii="Times New Roman" w:hAnsi="Times New Roman" w:cs="Times New Roman"/>
        </w:rPr>
        <w:t xml:space="preserve"> 2014 : 696). </w:t>
      </w:r>
      <w:r w:rsidR="00097624">
        <w:rPr>
          <w:rFonts w:ascii="Times New Roman" w:hAnsi="Times New Roman" w:cs="Times New Roman"/>
        </w:rPr>
        <w:t>Cette précision était d’ailleurs déjà présente au sein de la pratique du Canada, mais aussi de certains États eur</w:t>
      </w:r>
      <w:r w:rsidR="008A1973">
        <w:rPr>
          <w:rFonts w:ascii="Times New Roman" w:hAnsi="Times New Roman" w:cs="Times New Roman"/>
        </w:rPr>
        <w:t>opéens comme la Suisse (</w:t>
      </w:r>
      <w:proofErr w:type="spellStart"/>
      <w:r w:rsidR="008A1973">
        <w:rPr>
          <w:rFonts w:ascii="Times New Roman" w:hAnsi="Times New Roman" w:cs="Times New Roman"/>
        </w:rPr>
        <w:t>Bonzon</w:t>
      </w:r>
      <w:proofErr w:type="spellEnd"/>
      <w:r w:rsidR="008A1973">
        <w:rPr>
          <w:rFonts w:ascii="Times New Roman" w:hAnsi="Times New Roman" w:cs="Times New Roman"/>
        </w:rPr>
        <w:t xml:space="preserve"> </w:t>
      </w:r>
      <w:r w:rsidR="00097624">
        <w:rPr>
          <w:rFonts w:ascii="Times New Roman" w:hAnsi="Times New Roman" w:cs="Times New Roman"/>
        </w:rPr>
        <w:t>2012 : 817). L</w:t>
      </w:r>
      <w:r w:rsidR="00A23F9F">
        <w:rPr>
          <w:rFonts w:ascii="Times New Roman" w:hAnsi="Times New Roman" w:cs="Times New Roman"/>
        </w:rPr>
        <w:t xml:space="preserve">’AECG </w:t>
      </w:r>
      <w:r w:rsidR="00097624">
        <w:rPr>
          <w:rFonts w:ascii="Times New Roman" w:hAnsi="Times New Roman" w:cs="Times New Roman"/>
        </w:rPr>
        <w:t xml:space="preserve">va cependant un peu plus loin en ajoutant </w:t>
      </w:r>
      <w:r w:rsidR="00D86012">
        <w:rPr>
          <w:rFonts w:ascii="Times New Roman" w:hAnsi="Times New Roman" w:cs="Times New Roman"/>
        </w:rPr>
        <w:t>:</w:t>
      </w:r>
    </w:p>
    <w:p w14:paraId="586EC6D7" w14:textId="24C37E06" w:rsidR="00A23F9F" w:rsidRPr="00A30DFF" w:rsidRDefault="00A30DFF" w:rsidP="00C7252F">
      <w:pPr>
        <w:spacing w:before="120" w:after="120"/>
        <w:ind w:left="709" w:right="709"/>
        <w:jc w:val="both"/>
        <w:rPr>
          <w:rFonts w:ascii="Times New Roman" w:hAnsi="Times New Roman" w:cs="Times New Roman"/>
          <w:sz w:val="20"/>
        </w:rPr>
      </w:pPr>
      <w:r w:rsidRPr="00A30DFF">
        <w:rPr>
          <w:rFonts w:ascii="Times New Roman" w:hAnsi="Times New Roman" w:cs="Times New Roman"/>
          <w:sz w:val="20"/>
          <w:lang w:val="fr-FR"/>
        </w:rPr>
        <w:t>Les obligations de fond énoncées dans d’autres traités internationaux sur l'investissement et dans d'autres accords commerciaux ne constituent pas en soi un « traitement » et ne peuvent donc pas donner lieu à un manquement au présent article en l’absence de mesures adoptées par une Partie conformément à de telles obligations.</w:t>
      </w:r>
      <w:r w:rsidRPr="00A30DFF">
        <w:rPr>
          <w:rFonts w:ascii="Times New Roman" w:hAnsi="Times New Roman" w:cs="Times New Roman"/>
          <w:sz w:val="20"/>
        </w:rPr>
        <w:t xml:space="preserve"> </w:t>
      </w:r>
      <w:r w:rsidR="00D86012" w:rsidRPr="00A30DFF">
        <w:rPr>
          <w:rFonts w:ascii="Times New Roman" w:hAnsi="Times New Roman" w:cs="Times New Roman"/>
          <w:sz w:val="20"/>
        </w:rPr>
        <w:t>(</w:t>
      </w:r>
      <w:proofErr w:type="gramStart"/>
      <w:r w:rsidR="00D0032F" w:rsidRPr="00D0032F">
        <w:rPr>
          <w:rFonts w:ascii="Times New Roman" w:hAnsi="Times New Roman" w:cs="Times New Roman"/>
          <w:sz w:val="20"/>
        </w:rPr>
        <w:t>chapitre</w:t>
      </w:r>
      <w:proofErr w:type="gramEnd"/>
      <w:r w:rsidR="00D0032F" w:rsidRPr="00D0032F">
        <w:rPr>
          <w:rFonts w:ascii="Times New Roman" w:hAnsi="Times New Roman" w:cs="Times New Roman"/>
          <w:sz w:val="20"/>
        </w:rPr>
        <w:t xml:space="preserve"> 10, </w:t>
      </w:r>
      <w:r w:rsidR="00D86012" w:rsidRPr="00A30DFF">
        <w:rPr>
          <w:rFonts w:ascii="Times New Roman" w:hAnsi="Times New Roman" w:cs="Times New Roman"/>
          <w:sz w:val="20"/>
        </w:rPr>
        <w:t>art. X.7</w:t>
      </w:r>
      <w:r w:rsidR="00D0032F">
        <w:rPr>
          <w:rFonts w:ascii="Times New Roman" w:hAnsi="Times New Roman" w:cs="Times New Roman"/>
          <w:sz w:val="20"/>
        </w:rPr>
        <w:t xml:space="preserve"> (4)</w:t>
      </w:r>
      <w:r w:rsidR="00D86012" w:rsidRPr="00A30DFF">
        <w:rPr>
          <w:rFonts w:ascii="Times New Roman" w:hAnsi="Times New Roman" w:cs="Times New Roman"/>
          <w:sz w:val="20"/>
        </w:rPr>
        <w:t>)</w:t>
      </w:r>
    </w:p>
    <w:p w14:paraId="202A1534" w14:textId="16D09669" w:rsidR="0008762B" w:rsidRDefault="00D86012" w:rsidP="00BA43F7">
      <w:pPr>
        <w:spacing w:before="120" w:after="120" w:line="360" w:lineRule="auto"/>
        <w:jc w:val="both"/>
        <w:rPr>
          <w:rFonts w:ascii="Times New Roman" w:hAnsi="Times New Roman" w:cs="Times New Roman"/>
        </w:rPr>
      </w:pPr>
      <w:r>
        <w:rPr>
          <w:rFonts w:ascii="Times New Roman" w:hAnsi="Times New Roman" w:cs="Times New Roman"/>
        </w:rPr>
        <w:t xml:space="preserve">Apparemment, </w:t>
      </w:r>
      <w:r w:rsidR="004C39C0">
        <w:rPr>
          <w:rFonts w:ascii="Times New Roman" w:hAnsi="Times New Roman" w:cs="Times New Roman"/>
        </w:rPr>
        <w:t xml:space="preserve">les Parties à l’AECG se sont entendues </w:t>
      </w:r>
      <w:r w:rsidR="005567DE">
        <w:rPr>
          <w:rFonts w:ascii="Times New Roman" w:hAnsi="Times New Roman" w:cs="Times New Roman"/>
        </w:rPr>
        <w:t>pour</w:t>
      </w:r>
      <w:r>
        <w:rPr>
          <w:rFonts w:ascii="Times New Roman" w:hAnsi="Times New Roman" w:cs="Times New Roman"/>
        </w:rPr>
        <w:t xml:space="preserve"> limiter l’</w:t>
      </w:r>
      <w:r w:rsidR="0037601E">
        <w:rPr>
          <w:rFonts w:ascii="Times New Roman" w:hAnsi="Times New Roman" w:cs="Times New Roman"/>
        </w:rPr>
        <w:t xml:space="preserve">utilisation </w:t>
      </w:r>
      <w:r>
        <w:rPr>
          <w:rFonts w:ascii="Times New Roman" w:hAnsi="Times New Roman" w:cs="Times New Roman"/>
        </w:rPr>
        <w:t xml:space="preserve">au traitement </w:t>
      </w:r>
      <w:r>
        <w:rPr>
          <w:rFonts w:ascii="Times New Roman" w:hAnsi="Times New Roman" w:cs="Times New Roman"/>
          <w:i/>
        </w:rPr>
        <w:t xml:space="preserve">de facto </w:t>
      </w:r>
      <w:r>
        <w:rPr>
          <w:rFonts w:ascii="Times New Roman" w:hAnsi="Times New Roman" w:cs="Times New Roman"/>
        </w:rPr>
        <w:t xml:space="preserve">ou </w:t>
      </w:r>
      <w:r>
        <w:rPr>
          <w:rFonts w:ascii="Times New Roman" w:hAnsi="Times New Roman" w:cs="Times New Roman"/>
          <w:i/>
        </w:rPr>
        <w:t>de jure</w:t>
      </w:r>
      <w:r>
        <w:rPr>
          <w:rFonts w:ascii="Times New Roman" w:hAnsi="Times New Roman" w:cs="Times New Roman"/>
        </w:rPr>
        <w:t xml:space="preserve">¸ et non pas à la simple possibilité d’un meilleur traitement </w:t>
      </w:r>
      <w:r w:rsidR="008A1973">
        <w:rPr>
          <w:rFonts w:ascii="Times New Roman" w:hAnsi="Times New Roman" w:cs="Times New Roman"/>
        </w:rPr>
        <w:t>(</w:t>
      </w:r>
      <w:proofErr w:type="spellStart"/>
      <w:r w:rsidR="008A1973">
        <w:rPr>
          <w:rFonts w:ascii="Times New Roman" w:hAnsi="Times New Roman" w:cs="Times New Roman"/>
        </w:rPr>
        <w:t>Reinisch</w:t>
      </w:r>
      <w:proofErr w:type="spellEnd"/>
      <w:r w:rsidR="00A23F9F">
        <w:rPr>
          <w:rFonts w:ascii="Times New Roman" w:hAnsi="Times New Roman" w:cs="Times New Roman"/>
        </w:rPr>
        <w:t xml:space="preserve"> 2014 : </w:t>
      </w:r>
      <w:r>
        <w:rPr>
          <w:rFonts w:ascii="Times New Roman" w:hAnsi="Times New Roman" w:cs="Times New Roman"/>
        </w:rPr>
        <w:t xml:space="preserve">696). Selon </w:t>
      </w:r>
      <w:proofErr w:type="spellStart"/>
      <w:r>
        <w:rPr>
          <w:rFonts w:ascii="Times New Roman" w:hAnsi="Times New Roman" w:cs="Times New Roman"/>
        </w:rPr>
        <w:t>Reinisch</w:t>
      </w:r>
      <w:proofErr w:type="spellEnd"/>
      <w:r>
        <w:rPr>
          <w:rFonts w:ascii="Times New Roman" w:hAnsi="Times New Roman" w:cs="Times New Roman"/>
        </w:rPr>
        <w:t>, une telle approche reflète de plus près le sens de cette clause au sein du droit du commerce internation</w:t>
      </w:r>
      <w:r w:rsidR="005567DE">
        <w:rPr>
          <w:rFonts w:ascii="Times New Roman" w:hAnsi="Times New Roman" w:cs="Times New Roman"/>
        </w:rPr>
        <w:t>al et de l’OMC (2014 : 696). L</w:t>
      </w:r>
      <w:r>
        <w:rPr>
          <w:rFonts w:ascii="Times New Roman" w:hAnsi="Times New Roman" w:cs="Times New Roman"/>
        </w:rPr>
        <w:t xml:space="preserve">a Commission européenne semble </w:t>
      </w:r>
      <w:r w:rsidR="005567DE">
        <w:rPr>
          <w:rFonts w:ascii="Times New Roman" w:hAnsi="Times New Roman" w:cs="Times New Roman"/>
        </w:rPr>
        <w:t xml:space="preserve">donc </w:t>
      </w:r>
      <w:r>
        <w:rPr>
          <w:rFonts w:ascii="Times New Roman" w:hAnsi="Times New Roman" w:cs="Times New Roman"/>
        </w:rPr>
        <w:t xml:space="preserve">encore </w:t>
      </w:r>
      <w:r w:rsidR="005567DE">
        <w:rPr>
          <w:rFonts w:ascii="Times New Roman" w:hAnsi="Times New Roman" w:cs="Times New Roman"/>
        </w:rPr>
        <w:t xml:space="preserve">puiser dans </w:t>
      </w:r>
      <w:r>
        <w:rPr>
          <w:rFonts w:ascii="Times New Roman" w:hAnsi="Times New Roman" w:cs="Times New Roman"/>
        </w:rPr>
        <w:t>son expérience à l’OMC</w:t>
      </w:r>
      <w:r w:rsidR="005567DE">
        <w:rPr>
          <w:rFonts w:ascii="Times New Roman" w:hAnsi="Times New Roman" w:cs="Times New Roman"/>
        </w:rPr>
        <w:t xml:space="preserve"> pour développer son modèle d’accord sur l’investissement</w:t>
      </w:r>
      <w:r>
        <w:rPr>
          <w:rFonts w:ascii="Times New Roman" w:hAnsi="Times New Roman" w:cs="Times New Roman"/>
        </w:rPr>
        <w:t xml:space="preserve">. </w:t>
      </w:r>
      <w:r w:rsidR="005567DE">
        <w:rPr>
          <w:rFonts w:ascii="Times New Roman" w:hAnsi="Times New Roman" w:cs="Times New Roman"/>
        </w:rPr>
        <w:t>Il reste cependant</w:t>
      </w:r>
      <w:r>
        <w:rPr>
          <w:rFonts w:ascii="Times New Roman" w:hAnsi="Times New Roman" w:cs="Times New Roman"/>
        </w:rPr>
        <w:t xml:space="preserve"> </w:t>
      </w:r>
      <w:r w:rsidR="00C7252F">
        <w:rPr>
          <w:rFonts w:ascii="Times New Roman" w:hAnsi="Times New Roman" w:cs="Times New Roman"/>
        </w:rPr>
        <w:t xml:space="preserve">à </w:t>
      </w:r>
      <w:r>
        <w:rPr>
          <w:rFonts w:ascii="Times New Roman" w:hAnsi="Times New Roman" w:cs="Times New Roman"/>
        </w:rPr>
        <w:t>voir si un tel degré de précision sera</w:t>
      </w:r>
      <w:r w:rsidR="005567DE">
        <w:rPr>
          <w:rFonts w:ascii="Times New Roman" w:hAnsi="Times New Roman" w:cs="Times New Roman"/>
        </w:rPr>
        <w:t xml:space="preserve"> réellement</w:t>
      </w:r>
      <w:r>
        <w:rPr>
          <w:rFonts w:ascii="Times New Roman" w:hAnsi="Times New Roman" w:cs="Times New Roman"/>
        </w:rPr>
        <w:t xml:space="preserve"> repris au sein de ses futurs accords.</w:t>
      </w:r>
    </w:p>
    <w:p w14:paraId="334912DF" w14:textId="51D6E493" w:rsidR="00F0493F" w:rsidRDefault="00C7252F" w:rsidP="00BA43F7">
      <w:pPr>
        <w:spacing w:before="120" w:after="120" w:line="360" w:lineRule="auto"/>
        <w:jc w:val="both"/>
        <w:rPr>
          <w:rFonts w:ascii="Times New Roman" w:hAnsi="Times New Roman" w:cs="Times New Roman"/>
        </w:rPr>
      </w:pPr>
      <w:r>
        <w:rPr>
          <w:rFonts w:ascii="Times New Roman" w:hAnsi="Times New Roman" w:cs="Times New Roman"/>
        </w:rPr>
        <w:t>La seconde particularité concerne</w:t>
      </w:r>
      <w:r w:rsidR="00082DB2">
        <w:rPr>
          <w:rFonts w:ascii="Times New Roman" w:hAnsi="Times New Roman" w:cs="Times New Roman"/>
        </w:rPr>
        <w:t xml:space="preserve"> la</w:t>
      </w:r>
      <w:r w:rsidR="00F0493F">
        <w:rPr>
          <w:rFonts w:ascii="Times New Roman" w:hAnsi="Times New Roman" w:cs="Times New Roman"/>
        </w:rPr>
        <w:t xml:space="preserve"> clause NPF de l’AECG </w:t>
      </w:r>
      <w:r>
        <w:rPr>
          <w:rFonts w:ascii="Times New Roman" w:hAnsi="Times New Roman" w:cs="Times New Roman"/>
        </w:rPr>
        <w:t xml:space="preserve">qui </w:t>
      </w:r>
      <w:r w:rsidR="00F0493F">
        <w:rPr>
          <w:rFonts w:ascii="Times New Roman" w:hAnsi="Times New Roman" w:cs="Times New Roman"/>
        </w:rPr>
        <w:t>ne contient aucune limite temporelle, ce qui pourrait être problématique si cet accord était signé comme</w:t>
      </w:r>
      <w:r w:rsidR="008A1973">
        <w:rPr>
          <w:rFonts w:ascii="Times New Roman" w:hAnsi="Times New Roman" w:cs="Times New Roman"/>
        </w:rPr>
        <w:t xml:space="preserve"> un accord mixte (</w:t>
      </w:r>
      <w:proofErr w:type="spellStart"/>
      <w:r w:rsidR="008A1973">
        <w:rPr>
          <w:rFonts w:ascii="Times New Roman" w:hAnsi="Times New Roman" w:cs="Times New Roman"/>
        </w:rPr>
        <w:t>Tzanakopoulos</w:t>
      </w:r>
      <w:proofErr w:type="spellEnd"/>
      <w:r w:rsidR="00F0493F">
        <w:rPr>
          <w:rFonts w:ascii="Times New Roman" w:hAnsi="Times New Roman" w:cs="Times New Roman"/>
        </w:rPr>
        <w:t xml:space="preserve"> 2014 : 501). </w:t>
      </w:r>
      <w:r>
        <w:rPr>
          <w:rFonts w:ascii="Times New Roman" w:hAnsi="Times New Roman" w:cs="Times New Roman"/>
        </w:rPr>
        <w:t>Dans ce dernier cas de figure, un investisseur canadien</w:t>
      </w:r>
      <w:r w:rsidR="00082DB2">
        <w:rPr>
          <w:rFonts w:ascii="Times New Roman" w:hAnsi="Times New Roman" w:cs="Times New Roman"/>
        </w:rPr>
        <w:t xml:space="preserve"> </w:t>
      </w:r>
      <w:r>
        <w:rPr>
          <w:rFonts w:ascii="Times New Roman" w:hAnsi="Times New Roman" w:cs="Times New Roman"/>
        </w:rPr>
        <w:t>pourrait utiliser</w:t>
      </w:r>
      <w:r w:rsidR="00F0493F">
        <w:rPr>
          <w:rFonts w:ascii="Times New Roman" w:hAnsi="Times New Roman" w:cs="Times New Roman"/>
        </w:rPr>
        <w:t xml:space="preserve"> la clause NPF de l’AECG </w:t>
      </w:r>
      <w:r>
        <w:rPr>
          <w:rFonts w:ascii="Times New Roman" w:hAnsi="Times New Roman" w:cs="Times New Roman"/>
        </w:rPr>
        <w:t>et</w:t>
      </w:r>
      <w:r w:rsidR="008C2451">
        <w:rPr>
          <w:rFonts w:ascii="Times New Roman" w:hAnsi="Times New Roman" w:cs="Times New Roman"/>
        </w:rPr>
        <w:t xml:space="preserve"> </w:t>
      </w:r>
      <w:r>
        <w:rPr>
          <w:rFonts w:ascii="Times New Roman" w:hAnsi="Times New Roman" w:cs="Times New Roman"/>
        </w:rPr>
        <w:t>bénéficier</w:t>
      </w:r>
      <w:r w:rsidR="008C2451">
        <w:rPr>
          <w:rFonts w:ascii="Times New Roman" w:hAnsi="Times New Roman" w:cs="Times New Roman"/>
        </w:rPr>
        <w:t xml:space="preserve"> des clauses qui offrent un meilleur traitement au sein d’un</w:t>
      </w:r>
      <w:r w:rsidR="00F0493F">
        <w:rPr>
          <w:rFonts w:ascii="Times New Roman" w:hAnsi="Times New Roman" w:cs="Times New Roman"/>
        </w:rPr>
        <w:t xml:space="preserve"> </w:t>
      </w:r>
      <w:r w:rsidR="00082DB2">
        <w:rPr>
          <w:rFonts w:ascii="Times New Roman" w:hAnsi="Times New Roman" w:cs="Times New Roman"/>
        </w:rPr>
        <w:t xml:space="preserve">précédent </w:t>
      </w:r>
      <w:r w:rsidR="00F0493F">
        <w:rPr>
          <w:rFonts w:ascii="Times New Roman" w:hAnsi="Times New Roman" w:cs="Times New Roman"/>
        </w:rPr>
        <w:t xml:space="preserve">traité signé par un État membre de l’Union européenne. Si </w:t>
      </w:r>
      <w:r>
        <w:rPr>
          <w:rFonts w:ascii="Times New Roman" w:hAnsi="Times New Roman" w:cs="Times New Roman"/>
        </w:rPr>
        <w:t>tel était le cas</w:t>
      </w:r>
      <w:r w:rsidR="00F0493F">
        <w:rPr>
          <w:rFonts w:ascii="Times New Roman" w:hAnsi="Times New Roman" w:cs="Times New Roman"/>
        </w:rPr>
        <w:t xml:space="preserve">, un investisseur pourrait alors plaider la violation d’une clause parapluie généralement offerte par les </w:t>
      </w:r>
      <w:r>
        <w:rPr>
          <w:rFonts w:ascii="Times New Roman" w:hAnsi="Times New Roman" w:cs="Times New Roman"/>
        </w:rPr>
        <w:t>traités européens, mais absente</w:t>
      </w:r>
      <w:r w:rsidR="00F0493F">
        <w:rPr>
          <w:rFonts w:ascii="Times New Roman" w:hAnsi="Times New Roman" w:cs="Times New Roman"/>
        </w:rPr>
        <w:t xml:space="preserve"> de la pr</w:t>
      </w:r>
      <w:r w:rsidR="008A1973">
        <w:rPr>
          <w:rFonts w:ascii="Times New Roman" w:hAnsi="Times New Roman" w:cs="Times New Roman"/>
        </w:rPr>
        <w:t>atique canadienne (</w:t>
      </w:r>
      <w:proofErr w:type="spellStart"/>
      <w:r w:rsidR="008A1973">
        <w:rPr>
          <w:rFonts w:ascii="Times New Roman" w:hAnsi="Times New Roman" w:cs="Times New Roman"/>
        </w:rPr>
        <w:t>Hoffmeister</w:t>
      </w:r>
      <w:proofErr w:type="spellEnd"/>
      <w:r w:rsidR="008A1973">
        <w:rPr>
          <w:rFonts w:ascii="Times New Roman" w:hAnsi="Times New Roman" w:cs="Times New Roman"/>
        </w:rPr>
        <w:t xml:space="preserve"> et </w:t>
      </w:r>
      <w:proofErr w:type="spellStart"/>
      <w:r w:rsidR="008A1973">
        <w:rPr>
          <w:rFonts w:ascii="Times New Roman" w:hAnsi="Times New Roman" w:cs="Times New Roman"/>
        </w:rPr>
        <w:t>Alexandru</w:t>
      </w:r>
      <w:proofErr w:type="spellEnd"/>
      <w:r w:rsidR="00F0493F">
        <w:rPr>
          <w:rFonts w:ascii="Times New Roman" w:hAnsi="Times New Roman" w:cs="Times New Roman"/>
        </w:rPr>
        <w:t xml:space="preserve"> 2014 : 388). </w:t>
      </w:r>
      <w:r>
        <w:rPr>
          <w:rFonts w:ascii="Times New Roman" w:hAnsi="Times New Roman" w:cs="Times New Roman"/>
        </w:rPr>
        <w:t xml:space="preserve">Cette situation desservirait </w:t>
      </w:r>
      <w:r w:rsidR="00F0493F">
        <w:rPr>
          <w:rFonts w:ascii="Times New Roman" w:hAnsi="Times New Roman" w:cs="Times New Roman"/>
        </w:rPr>
        <w:t>particulièrement l’Europe pu</w:t>
      </w:r>
      <w:r w:rsidR="00082DB2">
        <w:rPr>
          <w:rFonts w:ascii="Times New Roman" w:hAnsi="Times New Roman" w:cs="Times New Roman"/>
        </w:rPr>
        <w:t>isque cela aurait pour effet de</w:t>
      </w:r>
      <w:r w:rsidR="00F0493F">
        <w:rPr>
          <w:rFonts w:ascii="Times New Roman" w:hAnsi="Times New Roman" w:cs="Times New Roman"/>
        </w:rPr>
        <w:t xml:space="preserve"> li</w:t>
      </w:r>
      <w:r w:rsidR="001B3A6F">
        <w:rPr>
          <w:rFonts w:ascii="Times New Roman" w:hAnsi="Times New Roman" w:cs="Times New Roman"/>
        </w:rPr>
        <w:t xml:space="preserve">miter la portée des </w:t>
      </w:r>
      <w:r w:rsidR="00F0493F">
        <w:rPr>
          <w:rFonts w:ascii="Times New Roman" w:hAnsi="Times New Roman" w:cs="Times New Roman"/>
        </w:rPr>
        <w:t>innovations</w:t>
      </w:r>
      <w:r w:rsidR="001B3A6F">
        <w:rPr>
          <w:rFonts w:ascii="Times New Roman" w:hAnsi="Times New Roman" w:cs="Times New Roman"/>
        </w:rPr>
        <w:t xml:space="preserve"> qu’elle pourrait faire</w:t>
      </w:r>
      <w:r w:rsidR="00F0493F">
        <w:rPr>
          <w:rFonts w:ascii="Times New Roman" w:hAnsi="Times New Roman" w:cs="Times New Roman"/>
        </w:rPr>
        <w:t xml:space="preserve"> au sein de ses futurs traités.</w:t>
      </w:r>
    </w:p>
    <w:p w14:paraId="6A8654D5" w14:textId="7AC66BA4" w:rsidR="005D67F8" w:rsidRDefault="0037601E" w:rsidP="00BA43F7">
      <w:pPr>
        <w:spacing w:before="120" w:after="120" w:line="360" w:lineRule="auto"/>
        <w:jc w:val="both"/>
        <w:rPr>
          <w:rFonts w:ascii="Times New Roman" w:hAnsi="Times New Roman" w:cs="Times New Roman"/>
        </w:rPr>
      </w:pPr>
      <w:r>
        <w:rPr>
          <w:rFonts w:ascii="Times New Roman" w:hAnsi="Times New Roman" w:cs="Times New Roman"/>
        </w:rPr>
        <w:t xml:space="preserve">Troisièmement, dans l’AECG, la Commission européenne a </w:t>
      </w:r>
      <w:r w:rsidR="00082DB2">
        <w:rPr>
          <w:rFonts w:ascii="Times New Roman" w:hAnsi="Times New Roman" w:cs="Times New Roman"/>
        </w:rPr>
        <w:t xml:space="preserve">aussi </w:t>
      </w:r>
      <w:r>
        <w:rPr>
          <w:rFonts w:ascii="Times New Roman" w:hAnsi="Times New Roman" w:cs="Times New Roman"/>
        </w:rPr>
        <w:t>accepté que les Parties ne puissent</w:t>
      </w:r>
      <w:r w:rsidR="00AB7150">
        <w:rPr>
          <w:rFonts w:ascii="Times New Roman" w:hAnsi="Times New Roman" w:cs="Times New Roman"/>
        </w:rPr>
        <w:t xml:space="preserve"> pas</w:t>
      </w:r>
      <w:r>
        <w:rPr>
          <w:rFonts w:ascii="Times New Roman" w:hAnsi="Times New Roman" w:cs="Times New Roman"/>
        </w:rPr>
        <w:t xml:space="preserve"> imposer des restrictions en lien avec la nationalité des dirigeants ou des personnes </w:t>
      </w:r>
      <w:r>
        <w:rPr>
          <w:rFonts w:ascii="Times New Roman" w:hAnsi="Times New Roman" w:cs="Times New Roman"/>
        </w:rPr>
        <w:lastRenderedPageBreak/>
        <w:t xml:space="preserve">siégeant </w:t>
      </w:r>
      <w:r w:rsidR="00C7252F">
        <w:rPr>
          <w:rFonts w:ascii="Times New Roman" w:hAnsi="Times New Roman" w:cs="Times New Roman"/>
        </w:rPr>
        <w:t>au</w:t>
      </w:r>
      <w:r>
        <w:rPr>
          <w:rFonts w:ascii="Times New Roman" w:hAnsi="Times New Roman" w:cs="Times New Roman"/>
        </w:rPr>
        <w:t xml:space="preserve"> conseil d’administration d’une entreprise</w:t>
      </w:r>
      <w:r w:rsidR="00EF6902">
        <w:rPr>
          <w:rFonts w:ascii="Times New Roman" w:hAnsi="Times New Roman" w:cs="Times New Roman"/>
        </w:rPr>
        <w:t xml:space="preserve"> (</w:t>
      </w:r>
      <w:r w:rsidR="00D0032F">
        <w:rPr>
          <w:rFonts w:ascii="Times New Roman" w:hAnsi="Times New Roman" w:cs="Times New Roman"/>
        </w:rPr>
        <w:t xml:space="preserve">chapitre 10, </w:t>
      </w:r>
      <w:r w:rsidR="00EF6902">
        <w:rPr>
          <w:rFonts w:ascii="Times New Roman" w:hAnsi="Times New Roman" w:cs="Times New Roman"/>
        </w:rPr>
        <w:t>art. X.8)</w:t>
      </w:r>
      <w:r>
        <w:rPr>
          <w:rFonts w:ascii="Times New Roman" w:hAnsi="Times New Roman" w:cs="Times New Roman"/>
        </w:rPr>
        <w:t>.</w:t>
      </w:r>
      <w:r w:rsidR="00082DB2">
        <w:rPr>
          <w:rFonts w:ascii="Times New Roman" w:hAnsi="Times New Roman" w:cs="Times New Roman"/>
        </w:rPr>
        <w:t xml:space="preserve"> Ce faisant, la Commission européenne </w:t>
      </w:r>
      <w:r w:rsidR="001C66BD">
        <w:rPr>
          <w:rFonts w:ascii="Times New Roman" w:hAnsi="Times New Roman" w:cs="Times New Roman"/>
        </w:rPr>
        <w:t>imite</w:t>
      </w:r>
      <w:r w:rsidR="005D67F8">
        <w:rPr>
          <w:rFonts w:ascii="Times New Roman" w:hAnsi="Times New Roman" w:cs="Times New Roman"/>
        </w:rPr>
        <w:t xml:space="preserve"> donc</w:t>
      </w:r>
      <w:r w:rsidR="00082DB2">
        <w:rPr>
          <w:rFonts w:ascii="Times New Roman" w:hAnsi="Times New Roman" w:cs="Times New Roman"/>
        </w:rPr>
        <w:t xml:space="preserve"> de nouveau la pratique nord-américaine depuis l’ALENA. </w:t>
      </w:r>
      <w:r w:rsidR="005D67F8">
        <w:rPr>
          <w:rFonts w:ascii="Times New Roman" w:hAnsi="Times New Roman" w:cs="Times New Roman"/>
        </w:rPr>
        <w:t>Il mérite</w:t>
      </w:r>
      <w:r w:rsidR="001C66BD">
        <w:rPr>
          <w:rFonts w:ascii="Times New Roman" w:hAnsi="Times New Roman" w:cs="Times New Roman"/>
        </w:rPr>
        <w:t xml:space="preserve"> toutefois d’être souligné qu</w:t>
      </w:r>
      <w:r w:rsidR="00C7252F">
        <w:rPr>
          <w:rFonts w:ascii="Times New Roman" w:hAnsi="Times New Roman" w:cs="Times New Roman"/>
        </w:rPr>
        <w:t xml:space="preserve">e c’était </w:t>
      </w:r>
      <w:r w:rsidR="00017859">
        <w:rPr>
          <w:rFonts w:ascii="Times New Roman" w:hAnsi="Times New Roman" w:cs="Times New Roman"/>
        </w:rPr>
        <w:t>aussi</w:t>
      </w:r>
      <w:r w:rsidR="00C7252F">
        <w:rPr>
          <w:rFonts w:ascii="Times New Roman" w:hAnsi="Times New Roman" w:cs="Times New Roman"/>
        </w:rPr>
        <w:t xml:space="preserve"> le cas au sein de l’</w:t>
      </w:r>
      <w:r w:rsidR="005D67F8">
        <w:rPr>
          <w:rFonts w:ascii="Times New Roman" w:hAnsi="Times New Roman" w:cs="Times New Roman"/>
        </w:rPr>
        <w:t xml:space="preserve">accord </w:t>
      </w:r>
      <w:r w:rsidR="001C66BD">
        <w:rPr>
          <w:rFonts w:ascii="Times New Roman" w:hAnsi="Times New Roman" w:cs="Times New Roman"/>
        </w:rPr>
        <w:t xml:space="preserve">de libre-échange </w:t>
      </w:r>
      <w:r w:rsidR="00C7252F">
        <w:rPr>
          <w:rFonts w:ascii="Times New Roman" w:hAnsi="Times New Roman" w:cs="Times New Roman"/>
        </w:rPr>
        <w:t>entre l’Union européenne et</w:t>
      </w:r>
      <w:r w:rsidR="005D67F8">
        <w:rPr>
          <w:rFonts w:ascii="Times New Roman" w:hAnsi="Times New Roman" w:cs="Times New Roman"/>
        </w:rPr>
        <w:t xml:space="preserve"> la Corée de 2011 (art. 7.11)</w:t>
      </w:r>
      <w:r w:rsidR="001C66BD">
        <w:rPr>
          <w:rFonts w:ascii="Times New Roman" w:hAnsi="Times New Roman" w:cs="Times New Roman"/>
        </w:rPr>
        <w:t xml:space="preserve">. </w:t>
      </w:r>
      <w:r w:rsidR="00017859">
        <w:rPr>
          <w:rFonts w:ascii="Times New Roman" w:hAnsi="Times New Roman" w:cs="Times New Roman"/>
        </w:rPr>
        <w:t xml:space="preserve">Il est intéressant et surprenant de noter </w:t>
      </w:r>
      <w:r w:rsidR="001C66BD">
        <w:rPr>
          <w:rFonts w:ascii="Times New Roman" w:hAnsi="Times New Roman" w:cs="Times New Roman"/>
        </w:rPr>
        <w:t>qu’un tel article</w:t>
      </w:r>
      <w:r w:rsidR="00C7252F">
        <w:rPr>
          <w:rFonts w:ascii="Times New Roman" w:hAnsi="Times New Roman" w:cs="Times New Roman"/>
        </w:rPr>
        <w:t xml:space="preserve"> </w:t>
      </w:r>
      <w:r w:rsidR="00017859">
        <w:rPr>
          <w:rFonts w:ascii="Times New Roman" w:hAnsi="Times New Roman" w:cs="Times New Roman"/>
        </w:rPr>
        <w:t>est</w:t>
      </w:r>
      <w:r w:rsidR="00C7252F">
        <w:rPr>
          <w:rFonts w:ascii="Times New Roman" w:hAnsi="Times New Roman" w:cs="Times New Roman"/>
        </w:rPr>
        <w:t xml:space="preserve"> pour l’instant absent de la</w:t>
      </w:r>
      <w:r w:rsidR="001C66BD">
        <w:rPr>
          <w:rFonts w:ascii="Times New Roman" w:hAnsi="Times New Roman" w:cs="Times New Roman"/>
        </w:rPr>
        <w:t xml:space="preserve"> plus récente proposition</w:t>
      </w:r>
      <w:r w:rsidR="00C7252F">
        <w:rPr>
          <w:rFonts w:ascii="Times New Roman" w:hAnsi="Times New Roman" w:cs="Times New Roman"/>
        </w:rPr>
        <w:t xml:space="preserve"> de la Commission européenne</w:t>
      </w:r>
      <w:r w:rsidR="001C66BD">
        <w:rPr>
          <w:rFonts w:ascii="Times New Roman" w:hAnsi="Times New Roman" w:cs="Times New Roman"/>
        </w:rPr>
        <w:t xml:space="preserve"> au sein de la négociation du chapitre sur l’investissement du Partenariat transatlantique.</w:t>
      </w:r>
    </w:p>
    <w:p w14:paraId="05FA469A" w14:textId="558E2C68" w:rsidR="00D86012" w:rsidRDefault="007B6211" w:rsidP="00BA43F7">
      <w:pPr>
        <w:spacing w:before="120" w:after="120" w:line="360" w:lineRule="auto"/>
        <w:jc w:val="both"/>
        <w:rPr>
          <w:rFonts w:ascii="Times New Roman" w:hAnsi="Times New Roman" w:cs="Times New Roman"/>
        </w:rPr>
      </w:pPr>
      <w:r>
        <w:rPr>
          <w:rFonts w:ascii="Times New Roman" w:hAnsi="Times New Roman" w:cs="Times New Roman"/>
        </w:rPr>
        <w:t xml:space="preserve">Avant </w:t>
      </w:r>
      <w:r w:rsidR="00C7252F">
        <w:rPr>
          <w:rFonts w:ascii="Times New Roman" w:hAnsi="Times New Roman" w:cs="Times New Roman"/>
        </w:rPr>
        <w:t>d’aborder la question de</w:t>
      </w:r>
      <w:r>
        <w:rPr>
          <w:rFonts w:ascii="Times New Roman" w:hAnsi="Times New Roman" w:cs="Times New Roman"/>
        </w:rPr>
        <w:t>s normes de traitement, une précision importante</w:t>
      </w:r>
      <w:r w:rsidR="0037601E">
        <w:rPr>
          <w:rFonts w:ascii="Times New Roman" w:hAnsi="Times New Roman" w:cs="Times New Roman"/>
        </w:rPr>
        <w:t xml:space="preserve"> </w:t>
      </w:r>
      <w:r w:rsidR="00F0493F">
        <w:rPr>
          <w:rFonts w:ascii="Times New Roman" w:hAnsi="Times New Roman" w:cs="Times New Roman"/>
        </w:rPr>
        <w:t xml:space="preserve">s’impose sur le modèle d’accord en développement de l’Union européenne. </w:t>
      </w:r>
      <w:r w:rsidR="00DC62FE">
        <w:rPr>
          <w:rFonts w:ascii="Times New Roman" w:hAnsi="Times New Roman" w:cs="Times New Roman"/>
        </w:rPr>
        <w:t>L’utilisation du mécanisme d’arbitrage investisseur – État est exclu</w:t>
      </w:r>
      <w:r w:rsidR="00C7252F">
        <w:rPr>
          <w:rFonts w:ascii="Times New Roman" w:hAnsi="Times New Roman" w:cs="Times New Roman"/>
        </w:rPr>
        <w:t>e</w:t>
      </w:r>
      <w:r w:rsidR="00DC62FE">
        <w:rPr>
          <w:rFonts w:ascii="Times New Roman" w:hAnsi="Times New Roman" w:cs="Times New Roman"/>
        </w:rPr>
        <w:t xml:space="preserve"> aussi bien pour les garanties en lien avec l’établissement que </w:t>
      </w:r>
      <w:r w:rsidR="00C7252F">
        <w:rPr>
          <w:rFonts w:ascii="Times New Roman" w:hAnsi="Times New Roman" w:cs="Times New Roman"/>
        </w:rPr>
        <w:t xml:space="preserve">pour </w:t>
      </w:r>
      <w:r w:rsidR="00DC62FE">
        <w:rPr>
          <w:rFonts w:ascii="Times New Roman" w:hAnsi="Times New Roman" w:cs="Times New Roman"/>
        </w:rPr>
        <w:t>celles liées à la non-discrimination</w:t>
      </w:r>
      <w:r w:rsidR="00412991">
        <w:rPr>
          <w:rFonts w:ascii="Times New Roman" w:hAnsi="Times New Roman" w:cs="Times New Roman"/>
        </w:rPr>
        <w:t xml:space="preserve"> qui aurait pu s’appliquer durant la période pré-établissement</w:t>
      </w:r>
      <w:r w:rsidR="00DC62FE">
        <w:rPr>
          <w:rFonts w:ascii="Times New Roman" w:hAnsi="Times New Roman" w:cs="Times New Roman"/>
        </w:rPr>
        <w:t xml:space="preserve"> : </w:t>
      </w:r>
    </w:p>
    <w:p w14:paraId="5D56E2EA" w14:textId="46918909" w:rsidR="00E07351" w:rsidRPr="00E07351" w:rsidRDefault="000C152D" w:rsidP="00C7252F">
      <w:pPr>
        <w:shd w:val="clear" w:color="auto" w:fill="FFFFFF"/>
        <w:spacing w:before="120" w:after="120"/>
        <w:ind w:left="709" w:right="709"/>
        <w:jc w:val="both"/>
        <w:rPr>
          <w:rFonts w:ascii="Times New Roman" w:eastAsia="Times New Roman" w:hAnsi="Times New Roman" w:cs="Times New Roman"/>
          <w:color w:val="000000"/>
          <w:sz w:val="20"/>
          <w:szCs w:val="20"/>
          <w:lang w:val="fr-FR" w:eastAsia="ko-KR"/>
        </w:rPr>
      </w:pPr>
      <w:r w:rsidRPr="006A791E">
        <w:rPr>
          <w:rFonts w:ascii="Times New Roman" w:eastAsia="Times New Roman" w:hAnsi="Times New Roman" w:cs="Times New Roman"/>
          <w:color w:val="000000"/>
          <w:sz w:val="20"/>
          <w:szCs w:val="20"/>
          <w:lang w:eastAsia="ko-KR"/>
        </w:rPr>
        <w:t>1. […]</w:t>
      </w:r>
      <w:r w:rsidR="00E07351" w:rsidRPr="006A791E">
        <w:rPr>
          <w:rFonts w:ascii="Times New Roman" w:eastAsia="Times New Roman" w:hAnsi="Times New Roman" w:cs="Times New Roman"/>
          <w:color w:val="000000"/>
          <w:sz w:val="20"/>
          <w:szCs w:val="20"/>
          <w:lang w:eastAsia="ko-KR"/>
        </w:rPr>
        <w:t xml:space="preserve"> </w:t>
      </w:r>
      <w:r w:rsidR="00E07351" w:rsidRPr="00E07351">
        <w:rPr>
          <w:rFonts w:ascii="Times New Roman" w:eastAsia="Times New Roman" w:hAnsi="Times New Roman" w:cs="Times New Roman"/>
          <w:color w:val="000000"/>
          <w:sz w:val="20"/>
          <w:szCs w:val="20"/>
          <w:lang w:val="fr-FR" w:eastAsia="ko-KR"/>
        </w:rPr>
        <w:t xml:space="preserve">un investisseur d’une Partie peut soumettre à l’arbitrage, en vertu de la présente section, une plainte dans laquelle </w:t>
      </w:r>
      <w:r w:rsidR="004B5301">
        <w:rPr>
          <w:rFonts w:ascii="Times New Roman" w:eastAsia="Times New Roman" w:hAnsi="Times New Roman" w:cs="Times New Roman"/>
          <w:color w:val="000000"/>
          <w:sz w:val="20"/>
          <w:szCs w:val="20"/>
          <w:lang w:val="fr-FR" w:eastAsia="ko-KR"/>
        </w:rPr>
        <w:t>il</w:t>
      </w:r>
      <w:r w:rsidR="00E07351" w:rsidRPr="00E07351">
        <w:rPr>
          <w:rFonts w:ascii="Times New Roman" w:eastAsia="Times New Roman" w:hAnsi="Times New Roman" w:cs="Times New Roman"/>
          <w:color w:val="000000"/>
          <w:sz w:val="20"/>
          <w:szCs w:val="20"/>
          <w:lang w:val="fr-FR" w:eastAsia="ko-KR"/>
        </w:rPr>
        <w:t xml:space="preserve"> fait valoir que la Partie visée par la plainte a manqué à une obligation prévue</w:t>
      </w:r>
    </w:p>
    <w:p w14:paraId="694C1CAC" w14:textId="643CF83B" w:rsidR="00E07351" w:rsidRPr="00E07351" w:rsidRDefault="00E07351" w:rsidP="00C7252F">
      <w:pPr>
        <w:shd w:val="clear" w:color="auto" w:fill="FFFFFF"/>
        <w:spacing w:before="120" w:after="120"/>
        <w:ind w:left="1416" w:right="709"/>
        <w:jc w:val="both"/>
        <w:rPr>
          <w:rFonts w:ascii="Times New Roman" w:eastAsia="Times New Roman" w:hAnsi="Times New Roman" w:cs="Times New Roman"/>
          <w:color w:val="000000"/>
          <w:sz w:val="20"/>
          <w:szCs w:val="20"/>
          <w:lang w:val="fr-FR" w:eastAsia="ko-KR"/>
        </w:rPr>
      </w:pPr>
      <w:r w:rsidRPr="00E07351">
        <w:rPr>
          <w:rFonts w:ascii="Times New Roman" w:eastAsia="Times New Roman" w:hAnsi="Times New Roman" w:cs="Times New Roman"/>
          <w:color w:val="000000"/>
          <w:sz w:val="20"/>
          <w:szCs w:val="20"/>
          <w:lang w:val="fr-FR" w:eastAsia="ko-KR"/>
        </w:rPr>
        <w:t xml:space="preserve">a) à la section 3 (Traitement non discriminatoire) du présent chapitre, </w:t>
      </w:r>
      <w:r w:rsidRPr="00E07351">
        <w:rPr>
          <w:rFonts w:ascii="Times New Roman" w:eastAsia="Times New Roman" w:hAnsi="Times New Roman" w:cs="Times New Roman"/>
          <w:b/>
          <w:color w:val="000000"/>
          <w:sz w:val="20"/>
          <w:szCs w:val="20"/>
          <w:lang w:val="fr-FR" w:eastAsia="ko-KR"/>
        </w:rPr>
        <w:t>en ce qui concerne l’expansion, la direction, l’exploitation, la gestion, l’entretien, l’utilisation, la jouissance et la vente</w:t>
      </w:r>
      <w:r w:rsidRPr="00E07351">
        <w:rPr>
          <w:rFonts w:ascii="Times New Roman" w:eastAsia="Times New Roman" w:hAnsi="Times New Roman" w:cs="Times New Roman"/>
          <w:color w:val="000000"/>
          <w:sz w:val="20"/>
          <w:szCs w:val="20"/>
          <w:lang w:val="fr-FR" w:eastAsia="ko-KR"/>
        </w:rPr>
        <w:t xml:space="preserve"> ou autre aliénation de l’investissement visé;</w:t>
      </w:r>
    </w:p>
    <w:p w14:paraId="120BEB38" w14:textId="4729EB35" w:rsidR="00E07351" w:rsidRPr="00E07351" w:rsidRDefault="00E07351" w:rsidP="00C7252F">
      <w:pPr>
        <w:shd w:val="clear" w:color="auto" w:fill="FFFFFF"/>
        <w:spacing w:before="120" w:after="120"/>
        <w:ind w:right="709"/>
        <w:jc w:val="both"/>
        <w:rPr>
          <w:rFonts w:ascii="Times New Roman" w:eastAsia="Times New Roman" w:hAnsi="Times New Roman" w:cs="Times New Roman"/>
          <w:color w:val="000000"/>
          <w:sz w:val="20"/>
          <w:szCs w:val="20"/>
          <w:lang w:val="fr-FR" w:eastAsia="ko-KR"/>
        </w:rPr>
      </w:pPr>
      <w:r w:rsidRPr="00E07351">
        <w:rPr>
          <w:rFonts w:ascii="Times New Roman" w:eastAsia="Times New Roman" w:hAnsi="Times New Roman" w:cs="Times New Roman"/>
          <w:color w:val="000000"/>
          <w:sz w:val="20"/>
          <w:szCs w:val="20"/>
          <w:lang w:val="fr-FR" w:eastAsia="ko-KR"/>
        </w:rPr>
        <w:tab/>
        <w:t>[…]</w:t>
      </w:r>
    </w:p>
    <w:p w14:paraId="67C8DCA1" w14:textId="1AFED811" w:rsidR="00F0493F" w:rsidRPr="00E07351" w:rsidRDefault="00E07351" w:rsidP="00C7252F">
      <w:pPr>
        <w:shd w:val="clear" w:color="auto" w:fill="FFFFFF"/>
        <w:spacing w:before="120" w:after="120"/>
        <w:ind w:left="708" w:right="709"/>
        <w:jc w:val="both"/>
        <w:rPr>
          <w:rFonts w:ascii="Times New Roman" w:eastAsia="Times New Roman" w:hAnsi="Times New Roman" w:cs="Times New Roman"/>
          <w:color w:val="000000"/>
          <w:sz w:val="20"/>
          <w:szCs w:val="20"/>
          <w:lang w:val="fr-FR" w:eastAsia="ko-KR"/>
        </w:rPr>
      </w:pPr>
      <w:r w:rsidRPr="00E07351">
        <w:rPr>
          <w:rFonts w:ascii="Times New Roman" w:eastAsia="Times New Roman" w:hAnsi="Times New Roman" w:cs="Times New Roman"/>
          <w:color w:val="000000"/>
          <w:sz w:val="20"/>
          <w:szCs w:val="20"/>
          <w:lang w:val="fr-FR" w:eastAsia="ko-KR"/>
        </w:rPr>
        <w:t xml:space="preserve">2. Les plaintes en vertu de l’alinéa 1a) visant l’expansion d’un investissement visé ne peuvent être déposées que </w:t>
      </w:r>
      <w:r w:rsidRPr="00F16E9B">
        <w:rPr>
          <w:rFonts w:ascii="Times New Roman" w:eastAsia="Times New Roman" w:hAnsi="Times New Roman" w:cs="Times New Roman"/>
          <w:b/>
          <w:color w:val="000000"/>
          <w:sz w:val="20"/>
          <w:szCs w:val="20"/>
          <w:lang w:val="fr-FR" w:eastAsia="ko-KR"/>
        </w:rPr>
        <w:t>si la mesure se rapporte aux activités existantes d’un investissement visé et si elle a causé une perte ou un dommage à l’investissement visé</w:t>
      </w:r>
      <w:r w:rsidRPr="00E07351">
        <w:rPr>
          <w:rFonts w:ascii="Times New Roman" w:eastAsia="Times New Roman" w:hAnsi="Times New Roman" w:cs="Times New Roman"/>
          <w:color w:val="000000"/>
          <w:sz w:val="20"/>
          <w:szCs w:val="20"/>
          <w:lang w:val="fr-FR" w:eastAsia="ko-KR"/>
        </w:rPr>
        <w:t>.</w:t>
      </w:r>
      <w:r w:rsidR="000C152D" w:rsidRPr="006A791E">
        <w:rPr>
          <w:rFonts w:ascii="Times New Roman" w:hAnsi="Times New Roman" w:cs="Times New Roman"/>
          <w:color w:val="000000"/>
          <w:sz w:val="20"/>
          <w:szCs w:val="20"/>
          <w:shd w:val="clear" w:color="auto" w:fill="FFFFFF"/>
        </w:rPr>
        <w:t>(</w:t>
      </w:r>
      <w:r w:rsidR="00D0032F" w:rsidRPr="00D0032F">
        <w:rPr>
          <w:rFonts w:ascii="Times New Roman" w:hAnsi="Times New Roman" w:cs="Times New Roman"/>
          <w:color w:val="000000"/>
          <w:sz w:val="20"/>
          <w:szCs w:val="20"/>
          <w:shd w:val="clear" w:color="auto" w:fill="FFFFFF"/>
        </w:rPr>
        <w:t xml:space="preserve">chapitre 10, </w:t>
      </w:r>
      <w:r w:rsidR="000C152D" w:rsidRPr="006A791E">
        <w:rPr>
          <w:rFonts w:ascii="Times New Roman" w:hAnsi="Times New Roman" w:cs="Times New Roman"/>
          <w:color w:val="000000"/>
          <w:sz w:val="20"/>
          <w:szCs w:val="20"/>
          <w:shd w:val="clear" w:color="auto" w:fill="FFFFFF"/>
        </w:rPr>
        <w:t>art. X.17)</w:t>
      </w:r>
    </w:p>
    <w:p w14:paraId="5037B363" w14:textId="41FAE7B4" w:rsidR="003754A9" w:rsidRPr="00097624" w:rsidRDefault="00412991" w:rsidP="00BA43F7">
      <w:pPr>
        <w:spacing w:before="120" w:after="120" w:line="360" w:lineRule="auto"/>
        <w:jc w:val="both"/>
        <w:rPr>
          <w:rFonts w:ascii="Times New Roman" w:hAnsi="Times New Roman" w:cs="Times New Roman"/>
        </w:rPr>
      </w:pPr>
      <w:r>
        <w:rPr>
          <w:rFonts w:ascii="Times New Roman" w:hAnsi="Times New Roman" w:cs="Times New Roman"/>
        </w:rPr>
        <w:t xml:space="preserve">La section 2 du chapitre sur l’investissement de l’AECG qui traite de l’établissement des investissement n’est donc pas couverte et la section 3 qui traite de la non-discrimination n’est couverte qu’après qu’un investissement ait été effectuée sur le territoire d’un État partie. </w:t>
      </w:r>
      <w:r w:rsidR="000317A7" w:rsidRPr="006A791E">
        <w:rPr>
          <w:rFonts w:ascii="Times New Roman" w:hAnsi="Times New Roman" w:cs="Times New Roman"/>
        </w:rPr>
        <w:t xml:space="preserve">Cette </w:t>
      </w:r>
      <w:r w:rsidR="008A1973" w:rsidRPr="006A791E">
        <w:rPr>
          <w:rFonts w:ascii="Times New Roman" w:hAnsi="Times New Roman" w:cs="Times New Roman"/>
        </w:rPr>
        <w:t>limite</w:t>
      </w:r>
      <w:r w:rsidR="000317A7" w:rsidRPr="006A791E">
        <w:rPr>
          <w:rFonts w:ascii="Times New Roman" w:hAnsi="Times New Roman" w:cs="Times New Roman"/>
        </w:rPr>
        <w:t xml:space="preserve"> était essentielle </w:t>
      </w:r>
      <w:r w:rsidR="008A1973" w:rsidRPr="006A791E">
        <w:rPr>
          <w:rFonts w:ascii="Times New Roman" w:hAnsi="Times New Roman" w:cs="Times New Roman"/>
        </w:rPr>
        <w:t>pour le Conseil européen</w:t>
      </w:r>
      <w:r w:rsidR="000317A7" w:rsidRPr="006A791E">
        <w:rPr>
          <w:rFonts w:ascii="Times New Roman" w:hAnsi="Times New Roman" w:cs="Times New Roman"/>
        </w:rPr>
        <w:t xml:space="preserve"> selon un de ses documents de travail confidentiel: « </w:t>
      </w:r>
      <w:r w:rsidR="000317A7" w:rsidRPr="006A791E">
        <w:rPr>
          <w:rFonts w:ascii="Times New Roman" w:hAnsi="Times New Roman" w:cs="Times New Roman"/>
          <w:i/>
        </w:rPr>
        <w:t xml:space="preserve">For the EU </w:t>
      </w:r>
      <w:proofErr w:type="spellStart"/>
      <w:r w:rsidR="000317A7" w:rsidRPr="006A791E">
        <w:rPr>
          <w:rFonts w:ascii="Times New Roman" w:hAnsi="Times New Roman" w:cs="Times New Roman"/>
          <w:i/>
        </w:rPr>
        <w:t>it</w:t>
      </w:r>
      <w:proofErr w:type="spellEnd"/>
      <w:r w:rsidR="000317A7" w:rsidRPr="006A791E">
        <w:rPr>
          <w:rFonts w:ascii="Times New Roman" w:hAnsi="Times New Roman" w:cs="Times New Roman"/>
          <w:i/>
        </w:rPr>
        <w:t xml:space="preserve"> </w:t>
      </w:r>
      <w:proofErr w:type="spellStart"/>
      <w:r w:rsidR="000317A7" w:rsidRPr="006A791E">
        <w:rPr>
          <w:rFonts w:ascii="Times New Roman" w:hAnsi="Times New Roman" w:cs="Times New Roman"/>
          <w:i/>
        </w:rPr>
        <w:t>is</w:t>
      </w:r>
      <w:proofErr w:type="spellEnd"/>
      <w:r w:rsidR="000317A7" w:rsidRPr="006A791E">
        <w:rPr>
          <w:rFonts w:ascii="Times New Roman" w:hAnsi="Times New Roman" w:cs="Times New Roman"/>
          <w:i/>
        </w:rPr>
        <w:t xml:space="preserve"> </w:t>
      </w:r>
      <w:proofErr w:type="spellStart"/>
      <w:r w:rsidR="000317A7" w:rsidRPr="006A791E">
        <w:rPr>
          <w:rFonts w:ascii="Times New Roman" w:hAnsi="Times New Roman" w:cs="Times New Roman"/>
          <w:i/>
        </w:rPr>
        <w:t>critical</w:t>
      </w:r>
      <w:proofErr w:type="spellEnd"/>
      <w:r w:rsidR="000317A7" w:rsidRPr="006A791E">
        <w:rPr>
          <w:rFonts w:ascii="Times New Roman" w:hAnsi="Times New Roman" w:cs="Times New Roman"/>
          <w:i/>
        </w:rPr>
        <w:t xml:space="preserve"> to </w:t>
      </w:r>
      <w:proofErr w:type="spellStart"/>
      <w:r w:rsidR="000317A7" w:rsidRPr="006A791E">
        <w:rPr>
          <w:rFonts w:ascii="Times New Roman" w:hAnsi="Times New Roman" w:cs="Times New Roman"/>
          <w:i/>
        </w:rPr>
        <w:t>ensure</w:t>
      </w:r>
      <w:proofErr w:type="spellEnd"/>
      <w:r w:rsidR="000317A7" w:rsidRPr="006A791E">
        <w:rPr>
          <w:rFonts w:ascii="Times New Roman" w:hAnsi="Times New Roman" w:cs="Times New Roman"/>
          <w:i/>
        </w:rPr>
        <w:t xml:space="preserve"> </w:t>
      </w:r>
      <w:proofErr w:type="spellStart"/>
      <w:r w:rsidR="000317A7" w:rsidRPr="006A791E">
        <w:rPr>
          <w:rFonts w:ascii="Times New Roman" w:hAnsi="Times New Roman" w:cs="Times New Roman"/>
          <w:i/>
        </w:rPr>
        <w:t>that</w:t>
      </w:r>
      <w:proofErr w:type="spellEnd"/>
      <w:r w:rsidR="000317A7" w:rsidRPr="006A791E">
        <w:rPr>
          <w:rFonts w:ascii="Times New Roman" w:hAnsi="Times New Roman" w:cs="Times New Roman"/>
          <w:i/>
        </w:rPr>
        <w:t xml:space="preserve"> </w:t>
      </w:r>
      <w:proofErr w:type="spellStart"/>
      <w:r w:rsidR="000317A7" w:rsidRPr="006A791E">
        <w:rPr>
          <w:rFonts w:ascii="Times New Roman" w:hAnsi="Times New Roman" w:cs="Times New Roman"/>
          <w:i/>
        </w:rPr>
        <w:t>Investor</w:t>
      </w:r>
      <w:proofErr w:type="spellEnd"/>
      <w:r w:rsidR="000317A7" w:rsidRPr="006A791E">
        <w:rPr>
          <w:rFonts w:ascii="Times New Roman" w:hAnsi="Times New Roman" w:cs="Times New Roman"/>
          <w:i/>
        </w:rPr>
        <w:t xml:space="preserve"> State Dispute </w:t>
      </w:r>
      <w:proofErr w:type="spellStart"/>
      <w:r w:rsidR="000317A7" w:rsidRPr="006A791E">
        <w:rPr>
          <w:rFonts w:ascii="Times New Roman" w:hAnsi="Times New Roman" w:cs="Times New Roman"/>
          <w:i/>
        </w:rPr>
        <w:t>Settlement</w:t>
      </w:r>
      <w:proofErr w:type="spellEnd"/>
      <w:r w:rsidR="000317A7" w:rsidRPr="006A791E">
        <w:rPr>
          <w:rFonts w:ascii="Times New Roman" w:hAnsi="Times New Roman" w:cs="Times New Roman"/>
          <w:i/>
        </w:rPr>
        <w:t xml:space="preserve"> (ISDS) </w:t>
      </w:r>
      <w:proofErr w:type="spellStart"/>
      <w:r w:rsidR="000317A7" w:rsidRPr="006A791E">
        <w:rPr>
          <w:rFonts w:ascii="Times New Roman" w:hAnsi="Times New Roman" w:cs="Times New Roman"/>
          <w:i/>
        </w:rPr>
        <w:t>does</w:t>
      </w:r>
      <w:proofErr w:type="spellEnd"/>
      <w:r w:rsidR="000317A7" w:rsidRPr="006A791E">
        <w:rPr>
          <w:rFonts w:ascii="Times New Roman" w:hAnsi="Times New Roman" w:cs="Times New Roman"/>
          <w:i/>
        </w:rPr>
        <w:t xml:space="preserve"> not </w:t>
      </w:r>
      <w:proofErr w:type="spellStart"/>
      <w:r w:rsidR="000317A7" w:rsidRPr="006A791E">
        <w:rPr>
          <w:rFonts w:ascii="Times New Roman" w:hAnsi="Times New Roman" w:cs="Times New Roman"/>
          <w:i/>
        </w:rPr>
        <w:t>apply</w:t>
      </w:r>
      <w:proofErr w:type="spellEnd"/>
      <w:r w:rsidR="000317A7" w:rsidRPr="006A791E">
        <w:rPr>
          <w:rFonts w:ascii="Times New Roman" w:hAnsi="Times New Roman" w:cs="Times New Roman"/>
          <w:i/>
        </w:rPr>
        <w:t xml:space="preserve"> to </w:t>
      </w:r>
      <w:proofErr w:type="spellStart"/>
      <w:r w:rsidR="000317A7" w:rsidRPr="006A791E">
        <w:rPr>
          <w:rFonts w:ascii="Times New Roman" w:hAnsi="Times New Roman" w:cs="Times New Roman"/>
          <w:i/>
        </w:rPr>
        <w:t>market</w:t>
      </w:r>
      <w:proofErr w:type="spellEnd"/>
      <w:r w:rsidR="000317A7" w:rsidRPr="006A791E">
        <w:rPr>
          <w:rFonts w:ascii="Times New Roman" w:hAnsi="Times New Roman" w:cs="Times New Roman"/>
          <w:i/>
        </w:rPr>
        <w:t xml:space="preserve"> </w:t>
      </w:r>
      <w:proofErr w:type="spellStart"/>
      <w:r w:rsidR="000317A7" w:rsidRPr="006A791E">
        <w:rPr>
          <w:rFonts w:ascii="Times New Roman" w:hAnsi="Times New Roman" w:cs="Times New Roman"/>
          <w:i/>
        </w:rPr>
        <w:t>access</w:t>
      </w:r>
      <w:proofErr w:type="spellEnd"/>
      <w:r w:rsidR="000317A7" w:rsidRPr="006A791E">
        <w:rPr>
          <w:rFonts w:ascii="Times New Roman" w:hAnsi="Times New Roman" w:cs="Times New Roman"/>
          <w:i/>
        </w:rPr>
        <w:t xml:space="preserve"> </w:t>
      </w:r>
      <w:proofErr w:type="spellStart"/>
      <w:r w:rsidR="000317A7" w:rsidRPr="006A791E">
        <w:rPr>
          <w:rFonts w:ascii="Times New Roman" w:hAnsi="Times New Roman" w:cs="Times New Roman"/>
          <w:i/>
        </w:rPr>
        <w:t>related</w:t>
      </w:r>
      <w:proofErr w:type="spellEnd"/>
      <w:r w:rsidR="000317A7" w:rsidRPr="006A791E">
        <w:rPr>
          <w:rFonts w:ascii="Times New Roman" w:hAnsi="Times New Roman" w:cs="Times New Roman"/>
          <w:i/>
        </w:rPr>
        <w:t xml:space="preserve"> issues of </w:t>
      </w:r>
      <w:proofErr w:type="spellStart"/>
      <w:r w:rsidR="000317A7" w:rsidRPr="006A791E">
        <w:rPr>
          <w:rFonts w:ascii="Times New Roman" w:hAnsi="Times New Roman" w:cs="Times New Roman"/>
          <w:i/>
        </w:rPr>
        <w:t>investment</w:t>
      </w:r>
      <w:proofErr w:type="spellEnd"/>
      <w:r w:rsidR="000317A7" w:rsidRPr="006A791E">
        <w:rPr>
          <w:rFonts w:ascii="Times New Roman" w:hAnsi="Times New Roman" w:cs="Times New Roman"/>
        </w:rPr>
        <w:t xml:space="preserve"> » (2012 : 8). </w:t>
      </w:r>
      <w:r w:rsidR="000317A7">
        <w:rPr>
          <w:rFonts w:ascii="Times New Roman" w:hAnsi="Times New Roman" w:cs="Times New Roman"/>
        </w:rPr>
        <w:t>Du point d</w:t>
      </w:r>
      <w:r w:rsidR="003754A9">
        <w:rPr>
          <w:rFonts w:ascii="Times New Roman" w:hAnsi="Times New Roman" w:cs="Times New Roman"/>
        </w:rPr>
        <w:t>e</w:t>
      </w:r>
      <w:r w:rsidR="00124352">
        <w:rPr>
          <w:rFonts w:ascii="Times New Roman" w:hAnsi="Times New Roman" w:cs="Times New Roman"/>
        </w:rPr>
        <w:t xml:space="preserve"> vue européen, ces questions s</w:t>
      </w:r>
      <w:r w:rsidR="003754A9">
        <w:rPr>
          <w:rFonts w:ascii="Times New Roman" w:hAnsi="Times New Roman" w:cs="Times New Roman"/>
        </w:rPr>
        <w:t>o</w:t>
      </w:r>
      <w:r w:rsidR="00AB7150">
        <w:rPr>
          <w:rFonts w:ascii="Times New Roman" w:hAnsi="Times New Roman" w:cs="Times New Roman"/>
        </w:rPr>
        <w:t>nt mieux gérées</w:t>
      </w:r>
      <w:r w:rsidR="00124352">
        <w:rPr>
          <w:rFonts w:ascii="Times New Roman" w:hAnsi="Times New Roman" w:cs="Times New Roman"/>
        </w:rPr>
        <w:t xml:space="preserve"> </w:t>
      </w:r>
      <w:r w:rsidR="003754A9">
        <w:rPr>
          <w:rFonts w:ascii="Times New Roman" w:hAnsi="Times New Roman" w:cs="Times New Roman"/>
        </w:rPr>
        <w:t>par la voie diplomatique</w:t>
      </w:r>
      <w:r w:rsidR="00124352">
        <w:rPr>
          <w:rFonts w:ascii="Times New Roman" w:hAnsi="Times New Roman" w:cs="Times New Roman"/>
        </w:rPr>
        <w:t xml:space="preserve"> </w:t>
      </w:r>
      <w:r w:rsidR="003754A9">
        <w:rPr>
          <w:rFonts w:ascii="Times New Roman" w:hAnsi="Times New Roman" w:cs="Times New Roman"/>
        </w:rPr>
        <w:t>que juridictionnelle</w:t>
      </w:r>
      <w:r w:rsidR="000317A7">
        <w:rPr>
          <w:rFonts w:ascii="Times New Roman" w:hAnsi="Times New Roman" w:cs="Times New Roman"/>
        </w:rPr>
        <w:t xml:space="preserve"> (</w:t>
      </w:r>
      <w:proofErr w:type="spellStart"/>
      <w:r w:rsidR="000317A7">
        <w:rPr>
          <w:rFonts w:ascii="Times New Roman" w:hAnsi="Times New Roman" w:cs="Times New Roman"/>
        </w:rPr>
        <w:t>Hoffmeister</w:t>
      </w:r>
      <w:proofErr w:type="spellEnd"/>
      <w:r w:rsidR="008A1973">
        <w:rPr>
          <w:rFonts w:ascii="Times New Roman" w:hAnsi="Times New Roman" w:cs="Times New Roman"/>
        </w:rPr>
        <w:t xml:space="preserve"> et </w:t>
      </w:r>
      <w:proofErr w:type="spellStart"/>
      <w:r w:rsidR="008A1973">
        <w:rPr>
          <w:rFonts w:ascii="Times New Roman" w:hAnsi="Times New Roman" w:cs="Times New Roman"/>
        </w:rPr>
        <w:t>Alexandru</w:t>
      </w:r>
      <w:proofErr w:type="spellEnd"/>
      <w:r w:rsidR="000317A7">
        <w:rPr>
          <w:rFonts w:ascii="Times New Roman" w:hAnsi="Times New Roman" w:cs="Times New Roman"/>
        </w:rPr>
        <w:t xml:space="preserve"> 2014 : 398). Ainsi, bien que</w:t>
      </w:r>
      <w:r w:rsidR="00124352">
        <w:rPr>
          <w:rFonts w:ascii="Times New Roman" w:hAnsi="Times New Roman" w:cs="Times New Roman"/>
        </w:rPr>
        <w:t xml:space="preserve"> la Com</w:t>
      </w:r>
      <w:r w:rsidR="00DC62FE">
        <w:rPr>
          <w:rFonts w:ascii="Times New Roman" w:hAnsi="Times New Roman" w:cs="Times New Roman"/>
        </w:rPr>
        <w:t xml:space="preserve">mission européenne ait adopté plusieurs garanties que les États européens n’offraient généralement pas, elle </w:t>
      </w:r>
      <w:r w:rsidR="00124352">
        <w:rPr>
          <w:rFonts w:ascii="Times New Roman" w:hAnsi="Times New Roman" w:cs="Times New Roman"/>
        </w:rPr>
        <w:t>limite sensiblement leur effectivité en les exc</w:t>
      </w:r>
      <w:r w:rsidR="00DC62FE">
        <w:rPr>
          <w:rFonts w:ascii="Times New Roman" w:hAnsi="Times New Roman" w:cs="Times New Roman"/>
        </w:rPr>
        <w:t>luant du mécanisme d’arbitrage investisseur – État</w:t>
      </w:r>
      <w:r w:rsidR="000317A7">
        <w:rPr>
          <w:rFonts w:ascii="Times New Roman" w:hAnsi="Times New Roman" w:cs="Times New Roman"/>
        </w:rPr>
        <w:t xml:space="preserve">. </w:t>
      </w:r>
      <w:r w:rsidR="00AB7150">
        <w:rPr>
          <w:rFonts w:ascii="Times New Roman" w:hAnsi="Times New Roman" w:cs="Times New Roman"/>
        </w:rPr>
        <w:t xml:space="preserve">Le tribunal dans l’affaire </w:t>
      </w:r>
      <w:proofErr w:type="spellStart"/>
      <w:r w:rsidR="00AB7150">
        <w:rPr>
          <w:rFonts w:ascii="Times New Roman" w:hAnsi="Times New Roman" w:cs="Times New Roman"/>
          <w:i/>
        </w:rPr>
        <w:t>Maffezini</w:t>
      </w:r>
      <w:proofErr w:type="spellEnd"/>
      <w:r w:rsidR="00097624">
        <w:rPr>
          <w:rFonts w:ascii="Times New Roman" w:hAnsi="Times New Roman" w:cs="Times New Roman"/>
          <w:i/>
        </w:rPr>
        <w:t xml:space="preserve"> </w:t>
      </w:r>
      <w:r w:rsidR="00097624">
        <w:rPr>
          <w:rFonts w:ascii="Times New Roman" w:hAnsi="Times New Roman" w:cs="Times New Roman"/>
        </w:rPr>
        <w:t>avait notamment indiqué dans sa décision que le mécanisme d’arbitrage investisseur – État est essentiel pour s’assurer que les investisseurs aient réellement accès aux avantages d’un traité bilatéral d’investissement (2000 : para 55).</w:t>
      </w:r>
    </w:p>
    <w:p w14:paraId="6D808047" w14:textId="1647C3DD" w:rsidR="00E05E4E" w:rsidRPr="0091332B" w:rsidRDefault="00E05E4E" w:rsidP="004F762A">
      <w:pPr>
        <w:pStyle w:val="Titre3"/>
        <w:jc w:val="both"/>
        <w:rPr>
          <w:rFonts w:ascii="Times New Roman" w:hAnsi="Times New Roman" w:cs="Times New Roman"/>
          <w:b w:val="0"/>
          <w:i/>
          <w:color w:val="auto"/>
          <w:sz w:val="26"/>
          <w:szCs w:val="26"/>
        </w:rPr>
      </w:pPr>
      <w:bookmarkStart w:id="19" w:name="_Toc313471471"/>
      <w:r w:rsidRPr="0091332B">
        <w:rPr>
          <w:rFonts w:ascii="Times New Roman" w:hAnsi="Times New Roman" w:cs="Times New Roman"/>
          <w:b w:val="0"/>
          <w:i/>
          <w:color w:val="auto"/>
          <w:sz w:val="26"/>
          <w:szCs w:val="26"/>
        </w:rPr>
        <w:lastRenderedPageBreak/>
        <w:t>4.2.3 L’évolution de la norme de traitement des investissements : une réponse prévisible à la jurisprudence internationale</w:t>
      </w:r>
      <w:bookmarkEnd w:id="19"/>
      <w:r w:rsidRPr="0091332B">
        <w:rPr>
          <w:rFonts w:ascii="Times New Roman" w:hAnsi="Times New Roman" w:cs="Times New Roman"/>
          <w:b w:val="0"/>
          <w:i/>
          <w:color w:val="auto"/>
          <w:sz w:val="26"/>
          <w:szCs w:val="26"/>
        </w:rPr>
        <w:t xml:space="preserve"> </w:t>
      </w:r>
    </w:p>
    <w:p w14:paraId="35B6F257" w14:textId="1716A5AE" w:rsidR="00A04F8D" w:rsidRDefault="00766074" w:rsidP="00BA43F7">
      <w:pPr>
        <w:spacing w:before="120" w:after="120" w:line="360" w:lineRule="auto"/>
        <w:jc w:val="both"/>
        <w:rPr>
          <w:rFonts w:ascii="Times New Roman" w:hAnsi="Times New Roman" w:cs="Times New Roman"/>
        </w:rPr>
      </w:pPr>
      <w:r>
        <w:rPr>
          <w:rFonts w:ascii="Times New Roman" w:hAnsi="Times New Roman" w:cs="Times New Roman"/>
        </w:rPr>
        <w:t xml:space="preserve">Finalement, </w:t>
      </w:r>
      <w:r w:rsidR="00E07351">
        <w:rPr>
          <w:rFonts w:ascii="Times New Roman" w:hAnsi="Times New Roman" w:cs="Times New Roman"/>
        </w:rPr>
        <w:t xml:space="preserve">en ce qui a trait aux normes de traitement offerts aux investisseurs une fois leurs investissements admis sur le territoire de l’État hôte, </w:t>
      </w:r>
      <w:r>
        <w:rPr>
          <w:rFonts w:ascii="Times New Roman" w:hAnsi="Times New Roman" w:cs="Times New Roman"/>
        </w:rPr>
        <w:t>la Commission eu</w:t>
      </w:r>
      <w:r w:rsidR="00E07351">
        <w:rPr>
          <w:rFonts w:ascii="Times New Roman" w:hAnsi="Times New Roman" w:cs="Times New Roman"/>
        </w:rPr>
        <w:t>ropéenne poursuit et développe de différent</w:t>
      </w:r>
      <w:r w:rsidR="004B5301">
        <w:rPr>
          <w:rFonts w:ascii="Times New Roman" w:hAnsi="Times New Roman" w:cs="Times New Roman"/>
        </w:rPr>
        <w:t>e</w:t>
      </w:r>
      <w:r w:rsidR="00E07351">
        <w:rPr>
          <w:rFonts w:ascii="Times New Roman" w:hAnsi="Times New Roman" w:cs="Times New Roman"/>
        </w:rPr>
        <w:t>s façons</w:t>
      </w:r>
      <w:r>
        <w:rPr>
          <w:rFonts w:ascii="Times New Roman" w:hAnsi="Times New Roman" w:cs="Times New Roman"/>
        </w:rPr>
        <w:t xml:space="preserve"> la pratique </w:t>
      </w:r>
      <w:r w:rsidR="00017859">
        <w:rPr>
          <w:rFonts w:ascii="Times New Roman" w:hAnsi="Times New Roman" w:cs="Times New Roman"/>
        </w:rPr>
        <w:t xml:space="preserve">mise en place par </w:t>
      </w:r>
      <w:r>
        <w:rPr>
          <w:rFonts w:ascii="Times New Roman" w:hAnsi="Times New Roman" w:cs="Times New Roman"/>
        </w:rPr>
        <w:t>des États membres de l’Union</w:t>
      </w:r>
      <w:r w:rsidR="00E07351">
        <w:rPr>
          <w:rFonts w:ascii="Times New Roman" w:hAnsi="Times New Roman" w:cs="Times New Roman"/>
        </w:rPr>
        <w:t xml:space="preserve"> européenne.</w:t>
      </w:r>
      <w:r>
        <w:rPr>
          <w:rFonts w:ascii="Times New Roman" w:hAnsi="Times New Roman" w:cs="Times New Roman"/>
        </w:rPr>
        <w:t xml:space="preserve"> </w:t>
      </w:r>
      <w:r w:rsidR="00FD6812">
        <w:rPr>
          <w:rFonts w:ascii="Times New Roman" w:hAnsi="Times New Roman" w:cs="Times New Roman"/>
        </w:rPr>
        <w:t>I</w:t>
      </w:r>
      <w:r w:rsidR="00D930B2">
        <w:rPr>
          <w:rFonts w:ascii="Times New Roman" w:hAnsi="Times New Roman" w:cs="Times New Roman"/>
        </w:rPr>
        <w:t>l est intéressant de noter qu’au sein de l’AECG</w:t>
      </w:r>
      <w:r w:rsidR="004B5301">
        <w:rPr>
          <w:rFonts w:ascii="Times New Roman" w:hAnsi="Times New Roman" w:cs="Times New Roman"/>
        </w:rPr>
        <w:t>,</w:t>
      </w:r>
      <w:r w:rsidR="00D930B2">
        <w:rPr>
          <w:rFonts w:ascii="Times New Roman" w:hAnsi="Times New Roman" w:cs="Times New Roman"/>
        </w:rPr>
        <w:t xml:space="preserve"> comme de l’ALEUES, il est question d’un article sur le </w:t>
      </w:r>
      <w:r w:rsidR="00D930B2" w:rsidRPr="00D930B2">
        <w:rPr>
          <w:rFonts w:ascii="Times New Roman" w:hAnsi="Times New Roman" w:cs="Times New Roman"/>
          <w:i/>
        </w:rPr>
        <w:t>Traitement des investisseurs et des investissements visés</w:t>
      </w:r>
      <w:r w:rsidR="00D930B2">
        <w:rPr>
          <w:rFonts w:ascii="Times New Roman" w:hAnsi="Times New Roman" w:cs="Times New Roman"/>
          <w:i/>
        </w:rPr>
        <w:t>,</w:t>
      </w:r>
      <w:r w:rsidR="004B5301">
        <w:rPr>
          <w:rFonts w:ascii="Times New Roman" w:hAnsi="Times New Roman" w:cs="Times New Roman"/>
        </w:rPr>
        <w:t xml:space="preserve"> et non</w:t>
      </w:r>
      <w:r w:rsidR="00D930B2">
        <w:rPr>
          <w:rFonts w:ascii="Times New Roman" w:hAnsi="Times New Roman" w:cs="Times New Roman"/>
        </w:rPr>
        <w:t xml:space="preserve"> </w:t>
      </w:r>
      <w:r w:rsidR="004A4D93">
        <w:rPr>
          <w:rFonts w:ascii="Times New Roman" w:hAnsi="Times New Roman" w:cs="Times New Roman"/>
        </w:rPr>
        <w:t>d’une</w:t>
      </w:r>
      <w:r w:rsidR="00D930B2">
        <w:rPr>
          <w:rFonts w:ascii="Times New Roman" w:hAnsi="Times New Roman" w:cs="Times New Roman"/>
        </w:rPr>
        <w:t xml:space="preserve"> norme minimale de traitement comme dans les accords nord-américains. Le simple titre de ces articles </w:t>
      </w:r>
      <w:r w:rsidR="004B5301">
        <w:rPr>
          <w:rFonts w:ascii="Times New Roman" w:hAnsi="Times New Roman" w:cs="Times New Roman"/>
        </w:rPr>
        <w:t xml:space="preserve">indique </w:t>
      </w:r>
      <w:r w:rsidR="00D930B2">
        <w:rPr>
          <w:rFonts w:ascii="Times New Roman" w:hAnsi="Times New Roman" w:cs="Times New Roman"/>
        </w:rPr>
        <w:t xml:space="preserve">déjà </w:t>
      </w:r>
      <w:r w:rsidR="004B5301">
        <w:rPr>
          <w:rFonts w:ascii="Times New Roman" w:hAnsi="Times New Roman" w:cs="Times New Roman"/>
        </w:rPr>
        <w:t xml:space="preserve">la décision prise par </w:t>
      </w:r>
      <w:r w:rsidR="00D930B2">
        <w:rPr>
          <w:rFonts w:ascii="Times New Roman" w:hAnsi="Times New Roman" w:cs="Times New Roman"/>
        </w:rPr>
        <w:t xml:space="preserve">la Commission européenne </w:t>
      </w:r>
      <w:r w:rsidR="004A4D93">
        <w:rPr>
          <w:rFonts w:ascii="Times New Roman" w:hAnsi="Times New Roman" w:cs="Times New Roman"/>
        </w:rPr>
        <w:t>de maintenir</w:t>
      </w:r>
      <w:r w:rsidR="00D930B2">
        <w:rPr>
          <w:rFonts w:ascii="Times New Roman" w:hAnsi="Times New Roman" w:cs="Times New Roman"/>
        </w:rPr>
        <w:t xml:space="preserve"> la pratique des États européens en ne faisant pas référence au droit coutumier pour définir le traitement juste et équitable </w:t>
      </w:r>
      <w:r w:rsidR="00E07351">
        <w:rPr>
          <w:rFonts w:ascii="Times New Roman" w:hAnsi="Times New Roman" w:cs="Times New Roman"/>
        </w:rPr>
        <w:t>ainsi que</w:t>
      </w:r>
      <w:r w:rsidR="00D930B2">
        <w:rPr>
          <w:rFonts w:ascii="Times New Roman" w:hAnsi="Times New Roman" w:cs="Times New Roman"/>
        </w:rPr>
        <w:t xml:space="preserve"> la pr</w:t>
      </w:r>
      <w:r w:rsidR="00657D78">
        <w:rPr>
          <w:rFonts w:ascii="Times New Roman" w:hAnsi="Times New Roman" w:cs="Times New Roman"/>
        </w:rPr>
        <w:t>otection et sécurité intégrale comme le font le Can</w:t>
      </w:r>
      <w:r w:rsidR="008A1973">
        <w:rPr>
          <w:rFonts w:ascii="Times New Roman" w:hAnsi="Times New Roman" w:cs="Times New Roman"/>
        </w:rPr>
        <w:t>ada et les États-Unis (</w:t>
      </w:r>
      <w:proofErr w:type="spellStart"/>
      <w:r w:rsidR="008A1973">
        <w:rPr>
          <w:rFonts w:ascii="Times New Roman" w:hAnsi="Times New Roman" w:cs="Times New Roman"/>
        </w:rPr>
        <w:t>Alschner</w:t>
      </w:r>
      <w:proofErr w:type="spellEnd"/>
      <w:r w:rsidR="00657D78">
        <w:rPr>
          <w:rFonts w:ascii="Times New Roman" w:hAnsi="Times New Roman" w:cs="Times New Roman"/>
        </w:rPr>
        <w:t xml:space="preserve"> 2013 : 471). </w:t>
      </w:r>
    </w:p>
    <w:p w14:paraId="5BF30EEE" w14:textId="69FF68B9" w:rsidR="00A04F8D" w:rsidRDefault="00D930B2" w:rsidP="00BA43F7">
      <w:pPr>
        <w:spacing w:before="120" w:after="120" w:line="360" w:lineRule="auto"/>
        <w:jc w:val="both"/>
        <w:rPr>
          <w:rFonts w:ascii="Times New Roman" w:hAnsi="Times New Roman" w:cs="Times New Roman"/>
        </w:rPr>
      </w:pPr>
      <w:r>
        <w:rPr>
          <w:rFonts w:ascii="Times New Roman" w:hAnsi="Times New Roman" w:cs="Times New Roman"/>
        </w:rPr>
        <w:t xml:space="preserve">En ce qui concerne la garantie de protection et de sécurité intégrale, </w:t>
      </w:r>
      <w:r w:rsidR="00A04F8D">
        <w:rPr>
          <w:rFonts w:ascii="Times New Roman" w:hAnsi="Times New Roman" w:cs="Times New Roman"/>
        </w:rPr>
        <w:t xml:space="preserve">la seule innovation est que la </w:t>
      </w:r>
      <w:r>
        <w:rPr>
          <w:rFonts w:ascii="Times New Roman" w:hAnsi="Times New Roman" w:cs="Times New Roman"/>
        </w:rPr>
        <w:t xml:space="preserve">Commission européenne </w:t>
      </w:r>
      <w:r w:rsidR="00E07351">
        <w:rPr>
          <w:rFonts w:ascii="Times New Roman" w:hAnsi="Times New Roman" w:cs="Times New Roman"/>
        </w:rPr>
        <w:t>précise clairement que cette règle ne s’applique qu’à</w:t>
      </w:r>
      <w:r>
        <w:rPr>
          <w:rFonts w:ascii="Times New Roman" w:hAnsi="Times New Roman" w:cs="Times New Roman"/>
        </w:rPr>
        <w:t xml:space="preserve"> la sécurité physique des investisseurs et </w:t>
      </w:r>
      <w:r w:rsidR="00E07351">
        <w:rPr>
          <w:rFonts w:ascii="Times New Roman" w:hAnsi="Times New Roman" w:cs="Times New Roman"/>
        </w:rPr>
        <w:t xml:space="preserve">de leurs investissements. </w:t>
      </w:r>
      <w:r w:rsidR="004B5301">
        <w:rPr>
          <w:rFonts w:ascii="Times New Roman" w:hAnsi="Times New Roman" w:cs="Times New Roman"/>
        </w:rPr>
        <w:t xml:space="preserve">L’affaire </w:t>
      </w:r>
      <w:r w:rsidR="00E07351">
        <w:rPr>
          <w:rFonts w:ascii="Times New Roman" w:hAnsi="Times New Roman" w:cs="Times New Roman"/>
          <w:i/>
        </w:rPr>
        <w:t>Vivendi</w:t>
      </w:r>
      <w:r w:rsidR="004B5301">
        <w:rPr>
          <w:rFonts w:ascii="Times New Roman" w:hAnsi="Times New Roman" w:cs="Times New Roman"/>
          <w:i/>
        </w:rPr>
        <w:t>,</w:t>
      </w:r>
      <w:r w:rsidR="00CE1BC5">
        <w:rPr>
          <w:rFonts w:ascii="Times New Roman" w:hAnsi="Times New Roman" w:cs="Times New Roman"/>
          <w:i/>
        </w:rPr>
        <w:t xml:space="preserve"> </w:t>
      </w:r>
      <w:r w:rsidR="00CE1BC5">
        <w:rPr>
          <w:rFonts w:ascii="Times New Roman" w:hAnsi="Times New Roman" w:cs="Times New Roman"/>
        </w:rPr>
        <w:t xml:space="preserve">où le tribunal a spécifiquement indiqué qu’un État voulant que cette garantie se limite effectivement à la sécurité physique devrait le préciser dans son traité </w:t>
      </w:r>
      <w:r w:rsidR="00A04F8D">
        <w:rPr>
          <w:rFonts w:ascii="Times New Roman" w:hAnsi="Times New Roman" w:cs="Times New Roman"/>
        </w:rPr>
        <w:t>(2007 : para 7.4.15)</w:t>
      </w:r>
      <w:r w:rsidR="004B5301">
        <w:rPr>
          <w:rFonts w:ascii="Times New Roman" w:hAnsi="Times New Roman" w:cs="Times New Roman"/>
        </w:rPr>
        <w:t xml:space="preserve">, </w:t>
      </w:r>
      <w:r w:rsidR="004B5301" w:rsidRPr="004B5301">
        <w:rPr>
          <w:rFonts w:ascii="Times New Roman" w:hAnsi="Times New Roman" w:cs="Times New Roman"/>
        </w:rPr>
        <w:t>semble avoir été la source d’inspiration de cette précision.</w:t>
      </w:r>
      <w:r w:rsidR="00A04F8D">
        <w:rPr>
          <w:rFonts w:ascii="Times New Roman" w:hAnsi="Times New Roman" w:cs="Times New Roman"/>
        </w:rPr>
        <w:t xml:space="preserve"> </w:t>
      </w:r>
      <w:r w:rsidR="00CE1BC5">
        <w:rPr>
          <w:rFonts w:ascii="Times New Roman" w:hAnsi="Times New Roman" w:cs="Times New Roman"/>
        </w:rPr>
        <w:t>De cette façon, la Commission européenne s’assure</w:t>
      </w:r>
      <w:r w:rsidR="00A04F8D">
        <w:rPr>
          <w:rFonts w:ascii="Times New Roman" w:hAnsi="Times New Roman" w:cs="Times New Roman"/>
        </w:rPr>
        <w:t xml:space="preserve"> que </w:t>
      </w:r>
      <w:r w:rsidR="007773E4">
        <w:rPr>
          <w:rFonts w:ascii="Times New Roman" w:hAnsi="Times New Roman" w:cs="Times New Roman"/>
        </w:rPr>
        <w:t>cette</w:t>
      </w:r>
      <w:r w:rsidR="00A04F8D">
        <w:rPr>
          <w:rFonts w:ascii="Times New Roman" w:hAnsi="Times New Roman" w:cs="Times New Roman"/>
        </w:rPr>
        <w:t xml:space="preserve"> garantie offerte aux investisseurs ne couvre pas la protection légale comme </w:t>
      </w:r>
      <w:r w:rsidR="007773E4">
        <w:rPr>
          <w:rFonts w:ascii="Times New Roman" w:hAnsi="Times New Roman" w:cs="Times New Roman"/>
        </w:rPr>
        <w:t>p</w:t>
      </w:r>
      <w:r w:rsidR="00CE1BC5">
        <w:rPr>
          <w:rFonts w:ascii="Times New Roman" w:hAnsi="Times New Roman" w:cs="Times New Roman"/>
        </w:rPr>
        <w:t xml:space="preserve">ouvait </w:t>
      </w:r>
      <w:r w:rsidR="007773E4">
        <w:rPr>
          <w:rFonts w:ascii="Times New Roman" w:hAnsi="Times New Roman" w:cs="Times New Roman"/>
        </w:rPr>
        <w:t xml:space="preserve">le laisser penser la formulation du modèle d’accord canadien et comme </w:t>
      </w:r>
      <w:r w:rsidR="00A04F8D">
        <w:rPr>
          <w:rFonts w:ascii="Times New Roman" w:hAnsi="Times New Roman" w:cs="Times New Roman"/>
        </w:rPr>
        <w:t>certains tribunaux l’ont</w:t>
      </w:r>
      <w:r w:rsidR="007773E4">
        <w:rPr>
          <w:rFonts w:ascii="Times New Roman" w:hAnsi="Times New Roman" w:cs="Times New Roman"/>
        </w:rPr>
        <w:t xml:space="preserve"> d’ailleurs</w:t>
      </w:r>
      <w:r w:rsidR="00A04F8D">
        <w:rPr>
          <w:rFonts w:ascii="Times New Roman" w:hAnsi="Times New Roman" w:cs="Times New Roman"/>
        </w:rPr>
        <w:t xml:space="preserve"> interprété</w:t>
      </w:r>
      <w:r w:rsidR="004B5301">
        <w:rPr>
          <w:rFonts w:ascii="Times New Roman" w:hAnsi="Times New Roman" w:cs="Times New Roman"/>
        </w:rPr>
        <w:t>e</w:t>
      </w:r>
      <w:r w:rsidR="00A04F8D">
        <w:rPr>
          <w:rFonts w:ascii="Times New Roman" w:hAnsi="Times New Roman" w:cs="Times New Roman"/>
        </w:rPr>
        <w:t xml:space="preserve"> par le</w:t>
      </w:r>
      <w:r w:rsidR="007773E4">
        <w:rPr>
          <w:rFonts w:ascii="Times New Roman" w:hAnsi="Times New Roman" w:cs="Times New Roman"/>
        </w:rPr>
        <w:t xml:space="preserve"> passé</w:t>
      </w:r>
      <w:r w:rsidR="007306F2">
        <w:rPr>
          <w:rFonts w:ascii="Times New Roman" w:hAnsi="Times New Roman" w:cs="Times New Roman"/>
        </w:rPr>
        <w:t xml:space="preserve"> (Titi </w:t>
      </w:r>
      <w:r w:rsidR="00A04F8D">
        <w:rPr>
          <w:rFonts w:ascii="Times New Roman" w:hAnsi="Times New Roman" w:cs="Times New Roman"/>
        </w:rPr>
        <w:t xml:space="preserve">2014 : 543). </w:t>
      </w:r>
    </w:p>
    <w:p w14:paraId="50599E0D" w14:textId="2C1AE576" w:rsidR="00BD3452" w:rsidRDefault="007773E4" w:rsidP="00BA43F7">
      <w:pPr>
        <w:spacing w:before="120" w:after="120" w:line="360" w:lineRule="auto"/>
        <w:jc w:val="both"/>
        <w:rPr>
          <w:rFonts w:ascii="Times New Roman" w:hAnsi="Times New Roman" w:cs="Times New Roman"/>
        </w:rPr>
      </w:pPr>
      <w:r>
        <w:rPr>
          <w:rFonts w:ascii="Times New Roman" w:hAnsi="Times New Roman" w:cs="Times New Roman"/>
        </w:rPr>
        <w:t xml:space="preserve">Quant au </w:t>
      </w:r>
      <w:r w:rsidR="006121F9">
        <w:rPr>
          <w:rFonts w:ascii="Times New Roman" w:hAnsi="Times New Roman" w:cs="Times New Roman"/>
        </w:rPr>
        <w:t>traitement juste et équitable, il ressort de la jeune pratique européenne que la Commission a décidé de clarifier cette garantie en incorporant une liste non-exhaustive des trai</w:t>
      </w:r>
      <w:r w:rsidR="00CE1BC5">
        <w:rPr>
          <w:rFonts w:ascii="Times New Roman" w:hAnsi="Times New Roman" w:cs="Times New Roman"/>
        </w:rPr>
        <w:t>tements qui seraient injustes ou</w:t>
      </w:r>
      <w:r w:rsidR="006121F9">
        <w:rPr>
          <w:rFonts w:ascii="Times New Roman" w:hAnsi="Times New Roman" w:cs="Times New Roman"/>
        </w:rPr>
        <w:t xml:space="preserve"> inéquitables. Cette approche </w:t>
      </w:r>
      <w:proofErr w:type="spellStart"/>
      <w:r w:rsidR="006121F9">
        <w:rPr>
          <w:rFonts w:ascii="Times New Roman" w:hAnsi="Times New Roman" w:cs="Times New Roman"/>
        </w:rPr>
        <w:t>apparaît</w:t>
      </w:r>
      <w:proofErr w:type="spellEnd"/>
      <w:r w:rsidR="006121F9">
        <w:rPr>
          <w:rFonts w:ascii="Times New Roman" w:hAnsi="Times New Roman" w:cs="Times New Roman"/>
        </w:rPr>
        <w:t xml:space="preserve"> particulièrement intéressante étant donné que les traités européens et américains </w:t>
      </w:r>
      <w:r w:rsidR="00CE1BC5">
        <w:rPr>
          <w:rFonts w:ascii="Times New Roman" w:hAnsi="Times New Roman" w:cs="Times New Roman"/>
        </w:rPr>
        <w:t>sont</w:t>
      </w:r>
      <w:r w:rsidR="006121F9">
        <w:rPr>
          <w:rFonts w:ascii="Times New Roman" w:hAnsi="Times New Roman" w:cs="Times New Roman"/>
        </w:rPr>
        <w:t xml:space="preserve"> </w:t>
      </w:r>
      <w:r w:rsidR="00CE1BC5">
        <w:rPr>
          <w:rFonts w:ascii="Times New Roman" w:hAnsi="Times New Roman" w:cs="Times New Roman"/>
        </w:rPr>
        <w:t xml:space="preserve">tout </w:t>
      </w:r>
      <w:r w:rsidR="006121F9">
        <w:rPr>
          <w:rFonts w:ascii="Times New Roman" w:hAnsi="Times New Roman" w:cs="Times New Roman"/>
        </w:rPr>
        <w:t>au</w:t>
      </w:r>
      <w:r w:rsidR="00A22672">
        <w:rPr>
          <w:rFonts w:ascii="Times New Roman" w:hAnsi="Times New Roman" w:cs="Times New Roman"/>
        </w:rPr>
        <w:t>ssi</w:t>
      </w:r>
      <w:r w:rsidR="006121F9">
        <w:rPr>
          <w:rFonts w:ascii="Times New Roman" w:hAnsi="Times New Roman" w:cs="Times New Roman"/>
        </w:rPr>
        <w:t xml:space="preserve"> imprécis sur le contenu de cette règle. </w:t>
      </w:r>
      <w:r w:rsidR="00DB0F9F">
        <w:rPr>
          <w:rFonts w:ascii="Times New Roman" w:hAnsi="Times New Roman" w:cs="Times New Roman"/>
        </w:rPr>
        <w:t>Force est de constater que, c</w:t>
      </w:r>
      <w:r w:rsidR="006121F9">
        <w:rPr>
          <w:rFonts w:ascii="Times New Roman" w:hAnsi="Times New Roman" w:cs="Times New Roman"/>
        </w:rPr>
        <w:t>ontrairement à ce que pouvait penser le Canada ou les États-Unis, référer le traitement juste et équitable au droit coutumier n’apporte</w:t>
      </w:r>
      <w:r w:rsidR="007A3CFC">
        <w:rPr>
          <w:rFonts w:ascii="Times New Roman" w:hAnsi="Times New Roman" w:cs="Times New Roman"/>
        </w:rPr>
        <w:t xml:space="preserve"> </w:t>
      </w:r>
      <w:r w:rsidR="00CD0EF9">
        <w:rPr>
          <w:rFonts w:ascii="Times New Roman" w:hAnsi="Times New Roman" w:cs="Times New Roman"/>
        </w:rPr>
        <w:t xml:space="preserve">que peu d’éclairage sur cette question </w:t>
      </w:r>
      <w:r w:rsidR="007306F2">
        <w:rPr>
          <w:rFonts w:ascii="Times New Roman" w:hAnsi="Times New Roman" w:cs="Times New Roman"/>
        </w:rPr>
        <w:t>(</w:t>
      </w:r>
      <w:proofErr w:type="spellStart"/>
      <w:r w:rsidR="007306F2">
        <w:rPr>
          <w:rFonts w:ascii="Times New Roman" w:hAnsi="Times New Roman" w:cs="Times New Roman"/>
        </w:rPr>
        <w:t>Hoffmeister</w:t>
      </w:r>
      <w:proofErr w:type="spellEnd"/>
      <w:r w:rsidR="007306F2">
        <w:rPr>
          <w:rFonts w:ascii="Times New Roman" w:hAnsi="Times New Roman" w:cs="Times New Roman"/>
        </w:rPr>
        <w:t xml:space="preserve"> et </w:t>
      </w:r>
      <w:proofErr w:type="spellStart"/>
      <w:r w:rsidR="007306F2">
        <w:rPr>
          <w:rFonts w:ascii="Times New Roman" w:hAnsi="Times New Roman" w:cs="Times New Roman"/>
        </w:rPr>
        <w:t>Alexandru</w:t>
      </w:r>
      <w:proofErr w:type="spellEnd"/>
      <w:r w:rsidR="006121F9">
        <w:rPr>
          <w:rFonts w:ascii="Times New Roman" w:hAnsi="Times New Roman" w:cs="Times New Roman"/>
        </w:rPr>
        <w:t xml:space="preserve"> 2014 : 390</w:t>
      </w:r>
      <w:r w:rsidR="007306F2">
        <w:rPr>
          <w:rFonts w:ascii="Times New Roman" w:hAnsi="Times New Roman" w:cs="Times New Roman"/>
        </w:rPr>
        <w:t xml:space="preserve">; </w:t>
      </w:r>
      <w:proofErr w:type="spellStart"/>
      <w:r w:rsidR="007306F2">
        <w:rPr>
          <w:rFonts w:ascii="Times New Roman" w:hAnsi="Times New Roman" w:cs="Times New Roman"/>
        </w:rPr>
        <w:t>Kriebaum</w:t>
      </w:r>
      <w:proofErr w:type="spellEnd"/>
      <w:r w:rsidR="00F74113">
        <w:rPr>
          <w:rFonts w:ascii="Times New Roman" w:hAnsi="Times New Roman" w:cs="Times New Roman"/>
        </w:rPr>
        <w:t xml:space="preserve"> 2014 : 472</w:t>
      </w:r>
      <w:r w:rsidR="006121F9">
        <w:rPr>
          <w:rFonts w:ascii="Times New Roman" w:hAnsi="Times New Roman" w:cs="Times New Roman"/>
        </w:rPr>
        <w:t xml:space="preserve">). </w:t>
      </w:r>
      <w:r w:rsidR="00CD0EF9">
        <w:rPr>
          <w:rFonts w:ascii="Times New Roman" w:hAnsi="Times New Roman" w:cs="Times New Roman"/>
        </w:rPr>
        <w:t xml:space="preserve">Les États-Unis </w:t>
      </w:r>
      <w:r w:rsidR="00BD3452">
        <w:rPr>
          <w:rFonts w:ascii="Times New Roman" w:hAnsi="Times New Roman" w:cs="Times New Roman"/>
        </w:rPr>
        <w:t xml:space="preserve">soutenaient </w:t>
      </w:r>
      <w:r w:rsidR="00CD0EF9">
        <w:rPr>
          <w:rFonts w:ascii="Times New Roman" w:hAnsi="Times New Roman" w:cs="Times New Roman"/>
        </w:rPr>
        <w:t xml:space="preserve">eux-mêmes dans les  affaires </w:t>
      </w:r>
      <w:r w:rsidR="00CD0EF9">
        <w:rPr>
          <w:rFonts w:ascii="Times New Roman" w:hAnsi="Times New Roman" w:cs="Times New Roman"/>
          <w:i/>
        </w:rPr>
        <w:t xml:space="preserve">ADF </w:t>
      </w:r>
      <w:r w:rsidR="00CD0EF9">
        <w:rPr>
          <w:rFonts w:ascii="Times New Roman" w:hAnsi="Times New Roman" w:cs="Times New Roman"/>
        </w:rPr>
        <w:t xml:space="preserve">et </w:t>
      </w:r>
      <w:proofErr w:type="spellStart"/>
      <w:r w:rsidR="00CD0EF9">
        <w:rPr>
          <w:rFonts w:ascii="Times New Roman" w:hAnsi="Times New Roman" w:cs="Times New Roman"/>
          <w:i/>
        </w:rPr>
        <w:t>Glamis</w:t>
      </w:r>
      <w:proofErr w:type="spellEnd"/>
      <w:r w:rsidR="00CD0EF9">
        <w:rPr>
          <w:rFonts w:ascii="Times New Roman" w:hAnsi="Times New Roman" w:cs="Times New Roman"/>
          <w:i/>
        </w:rPr>
        <w:t xml:space="preserve"> </w:t>
      </w:r>
      <w:r w:rsidR="00CD0EF9">
        <w:rPr>
          <w:rFonts w:ascii="Times New Roman" w:hAnsi="Times New Roman" w:cs="Times New Roman"/>
        </w:rPr>
        <w:t>que le traitement juste et équitable prévu par le droit coutumi</w:t>
      </w:r>
      <w:r w:rsidR="007306F2">
        <w:rPr>
          <w:rFonts w:ascii="Times New Roman" w:hAnsi="Times New Roman" w:cs="Times New Roman"/>
        </w:rPr>
        <w:t>er est un concept parapluie (</w:t>
      </w:r>
      <w:proofErr w:type="spellStart"/>
      <w:r w:rsidR="007306F2">
        <w:rPr>
          <w:rFonts w:ascii="Times New Roman" w:hAnsi="Times New Roman" w:cs="Times New Roman"/>
        </w:rPr>
        <w:t>Dumberry</w:t>
      </w:r>
      <w:proofErr w:type="spellEnd"/>
      <w:r w:rsidR="007306F2">
        <w:rPr>
          <w:rFonts w:ascii="Times New Roman" w:hAnsi="Times New Roman" w:cs="Times New Roman"/>
        </w:rPr>
        <w:t xml:space="preserve"> </w:t>
      </w:r>
      <w:r w:rsidR="00CD0EF9">
        <w:rPr>
          <w:rFonts w:ascii="Times New Roman" w:hAnsi="Times New Roman" w:cs="Times New Roman"/>
        </w:rPr>
        <w:t>2013 :</w:t>
      </w:r>
      <w:r w:rsidR="00DB0F9F">
        <w:rPr>
          <w:rFonts w:ascii="Times New Roman" w:hAnsi="Times New Roman" w:cs="Times New Roman"/>
        </w:rPr>
        <w:t xml:space="preserve"> 25</w:t>
      </w:r>
      <w:r w:rsidR="00CD0EF9">
        <w:rPr>
          <w:rFonts w:ascii="Times New Roman" w:hAnsi="Times New Roman" w:cs="Times New Roman"/>
        </w:rPr>
        <w:t xml:space="preserve">). </w:t>
      </w:r>
      <w:r w:rsidR="00CE1BC5">
        <w:rPr>
          <w:rFonts w:ascii="Times New Roman" w:hAnsi="Times New Roman" w:cs="Times New Roman"/>
        </w:rPr>
        <w:t>Si tel est le cas, il est alors difficile de soutenir que son contenu est précis. C’est d’ailleurs ce que conclut</w:t>
      </w:r>
      <w:r w:rsidR="00DB0F9F">
        <w:rPr>
          <w:rFonts w:ascii="Times New Roman" w:hAnsi="Times New Roman" w:cs="Times New Roman"/>
        </w:rPr>
        <w:t xml:space="preserve"> un </w:t>
      </w:r>
      <w:r w:rsidR="00DB0F9F">
        <w:rPr>
          <w:rFonts w:ascii="Times New Roman" w:hAnsi="Times New Roman" w:cs="Times New Roman"/>
        </w:rPr>
        <w:lastRenderedPageBreak/>
        <w:t>rapp</w:t>
      </w:r>
      <w:r w:rsidR="007306F2">
        <w:rPr>
          <w:rFonts w:ascii="Times New Roman" w:hAnsi="Times New Roman" w:cs="Times New Roman"/>
        </w:rPr>
        <w:t>ort de la CNUDCI en 2012 (</w:t>
      </w:r>
      <w:proofErr w:type="spellStart"/>
      <w:r w:rsidR="007306F2">
        <w:rPr>
          <w:rFonts w:ascii="Times New Roman" w:hAnsi="Times New Roman" w:cs="Times New Roman"/>
        </w:rPr>
        <w:t>Dumberry</w:t>
      </w:r>
      <w:proofErr w:type="spellEnd"/>
      <w:r w:rsidR="00DB0F9F">
        <w:rPr>
          <w:rFonts w:ascii="Times New Roman" w:hAnsi="Times New Roman" w:cs="Times New Roman"/>
        </w:rPr>
        <w:t xml:space="preserve"> 2013 : 26-27). </w:t>
      </w:r>
      <w:r w:rsidR="004E22E6">
        <w:rPr>
          <w:rFonts w:ascii="Times New Roman" w:hAnsi="Times New Roman" w:cs="Times New Roman"/>
        </w:rPr>
        <w:t xml:space="preserve">De </w:t>
      </w:r>
      <w:r w:rsidR="00BD3452">
        <w:rPr>
          <w:rFonts w:ascii="Times New Roman" w:hAnsi="Times New Roman" w:cs="Times New Roman"/>
        </w:rPr>
        <w:t xml:space="preserve">même, les traités européens </w:t>
      </w:r>
      <w:r w:rsidR="00CE1BC5">
        <w:rPr>
          <w:rFonts w:ascii="Times New Roman" w:hAnsi="Times New Roman" w:cs="Times New Roman"/>
        </w:rPr>
        <w:t>ne font qu’indiquer que les parties doivent offrir</w:t>
      </w:r>
      <w:r w:rsidR="004E22E6">
        <w:rPr>
          <w:rFonts w:ascii="Times New Roman" w:hAnsi="Times New Roman" w:cs="Times New Roman"/>
        </w:rPr>
        <w:t xml:space="preserve"> un traitement juste et équitable </w:t>
      </w:r>
      <w:r w:rsidR="00CE1BC5">
        <w:rPr>
          <w:rFonts w:ascii="Times New Roman" w:hAnsi="Times New Roman" w:cs="Times New Roman"/>
        </w:rPr>
        <w:t>aux investisseurs</w:t>
      </w:r>
      <w:r w:rsidR="00BD3452">
        <w:rPr>
          <w:rFonts w:ascii="Times New Roman" w:hAnsi="Times New Roman" w:cs="Times New Roman"/>
        </w:rPr>
        <w:t xml:space="preserve">. Cela est loin d’offrir beaucoup d’éclairage sur le contenu de </w:t>
      </w:r>
      <w:r w:rsidR="00CE1BC5">
        <w:rPr>
          <w:rFonts w:ascii="Times New Roman" w:hAnsi="Times New Roman" w:cs="Times New Roman"/>
        </w:rPr>
        <w:t>ce concept</w:t>
      </w:r>
      <w:r w:rsidR="004E22E6">
        <w:rPr>
          <w:rFonts w:ascii="Times New Roman" w:hAnsi="Times New Roman" w:cs="Times New Roman"/>
        </w:rPr>
        <w:t xml:space="preserve">. </w:t>
      </w:r>
    </w:p>
    <w:p w14:paraId="34360041" w14:textId="19113F27" w:rsidR="00CD0EF9" w:rsidRDefault="004E22E6" w:rsidP="00BA43F7">
      <w:pPr>
        <w:spacing w:before="120" w:after="120" w:line="360" w:lineRule="auto"/>
        <w:jc w:val="both"/>
        <w:rPr>
          <w:rFonts w:ascii="Times New Roman" w:hAnsi="Times New Roman" w:cs="Times New Roman"/>
        </w:rPr>
      </w:pPr>
      <w:r>
        <w:rPr>
          <w:rFonts w:ascii="Times New Roman" w:hAnsi="Times New Roman" w:cs="Times New Roman"/>
        </w:rPr>
        <w:t xml:space="preserve">Le tribunal dans l’affaire </w:t>
      </w:r>
      <w:proofErr w:type="spellStart"/>
      <w:r>
        <w:rPr>
          <w:rFonts w:ascii="Times New Roman" w:hAnsi="Times New Roman" w:cs="Times New Roman"/>
          <w:i/>
        </w:rPr>
        <w:t>Saluka</w:t>
      </w:r>
      <w:proofErr w:type="spellEnd"/>
      <w:r>
        <w:rPr>
          <w:rFonts w:ascii="Times New Roman" w:hAnsi="Times New Roman" w:cs="Times New Roman"/>
          <w:i/>
        </w:rPr>
        <w:t xml:space="preserve"> </w:t>
      </w:r>
      <w:r>
        <w:rPr>
          <w:rFonts w:ascii="Times New Roman" w:hAnsi="Times New Roman" w:cs="Times New Roman"/>
        </w:rPr>
        <w:t xml:space="preserve">avait d’ailleurs </w:t>
      </w:r>
      <w:r w:rsidR="00F74113">
        <w:rPr>
          <w:rFonts w:ascii="Times New Roman" w:hAnsi="Times New Roman" w:cs="Times New Roman"/>
        </w:rPr>
        <w:t xml:space="preserve">précisément </w:t>
      </w:r>
      <w:r>
        <w:rPr>
          <w:rFonts w:ascii="Times New Roman" w:hAnsi="Times New Roman" w:cs="Times New Roman"/>
        </w:rPr>
        <w:t xml:space="preserve">conclu que la différence entre la règle prescrite par les traités et celle par le droit coutumier </w:t>
      </w:r>
      <w:r w:rsidR="00F74113">
        <w:rPr>
          <w:rFonts w:ascii="Times New Roman" w:hAnsi="Times New Roman" w:cs="Times New Roman"/>
        </w:rPr>
        <w:t>paraissait plus importante qu’elle ne l’était réellement :</w:t>
      </w:r>
    </w:p>
    <w:p w14:paraId="264D2CA4" w14:textId="2CED0EE9" w:rsidR="004E22E6" w:rsidRPr="004E22E6" w:rsidRDefault="004E22E6" w:rsidP="004B5301">
      <w:pPr>
        <w:spacing w:before="120" w:after="120"/>
        <w:ind w:left="709" w:right="709"/>
        <w:jc w:val="both"/>
        <w:rPr>
          <w:rFonts w:ascii="Times New Roman" w:hAnsi="Times New Roman" w:cs="Times New Roman"/>
          <w:sz w:val="20"/>
          <w:szCs w:val="20"/>
        </w:rPr>
      </w:pPr>
      <w:r w:rsidRPr="004E22E6">
        <w:rPr>
          <w:rFonts w:ascii="Times New Roman" w:hAnsi="Times New Roman" w:cs="Times New Roman"/>
          <w:i/>
          <w:color w:val="000000"/>
          <w:sz w:val="20"/>
          <w:szCs w:val="20"/>
          <w:lang w:val="en-CA"/>
        </w:rPr>
        <w:t>Whatever the merits of this controversy between the parties may be, it appears that the difference between the Treaty standard […] and the customary mini</w:t>
      </w:r>
      <w:r w:rsidRPr="004E22E6">
        <w:rPr>
          <w:rFonts w:ascii="Times New Roman" w:hAnsi="Times New Roman" w:cs="Times New Roman"/>
          <w:i/>
          <w:color w:val="000000"/>
          <w:sz w:val="20"/>
          <w:szCs w:val="20"/>
          <w:lang w:val="en-CA"/>
        </w:rPr>
        <w:softHyphen/>
        <w:t>mum standard, when applied to the specific facts of a case, may well be more apparent than real.</w:t>
      </w:r>
      <w:r>
        <w:rPr>
          <w:rFonts w:ascii="Times New Roman" w:hAnsi="Times New Roman" w:cs="Times New Roman"/>
          <w:i/>
          <w:color w:val="000000"/>
          <w:sz w:val="20"/>
          <w:szCs w:val="20"/>
          <w:lang w:val="en-CA"/>
        </w:rPr>
        <w:t xml:space="preserve"> </w:t>
      </w:r>
      <w:r w:rsidRPr="004E22E6">
        <w:rPr>
          <w:rFonts w:ascii="Times New Roman" w:hAnsi="Times New Roman" w:cs="Times New Roman"/>
          <w:color w:val="000000"/>
          <w:sz w:val="20"/>
          <w:szCs w:val="20"/>
        </w:rPr>
        <w:t>(2006 : para 291)</w:t>
      </w:r>
    </w:p>
    <w:p w14:paraId="5A4E25BA" w14:textId="48FB7C9B" w:rsidR="000A10A8" w:rsidRDefault="00DB0F9F" w:rsidP="00BA43F7">
      <w:pPr>
        <w:spacing w:before="120" w:after="120" w:line="360" w:lineRule="auto"/>
        <w:jc w:val="both"/>
        <w:rPr>
          <w:rFonts w:ascii="Times New Roman" w:hAnsi="Times New Roman" w:cs="Times New Roman"/>
        </w:rPr>
      </w:pPr>
      <w:r>
        <w:rPr>
          <w:rFonts w:ascii="Times New Roman" w:hAnsi="Times New Roman" w:cs="Times New Roman"/>
        </w:rPr>
        <w:t>La Commission</w:t>
      </w:r>
      <w:r w:rsidR="004B5301">
        <w:rPr>
          <w:rFonts w:ascii="Times New Roman" w:hAnsi="Times New Roman" w:cs="Times New Roman"/>
        </w:rPr>
        <w:t xml:space="preserve"> européenne s’éloigne</w:t>
      </w:r>
      <w:r w:rsidR="004E22E6">
        <w:rPr>
          <w:rFonts w:ascii="Times New Roman" w:hAnsi="Times New Roman" w:cs="Times New Roman"/>
        </w:rPr>
        <w:t xml:space="preserve"> donc des précédentes </w:t>
      </w:r>
      <w:r>
        <w:rPr>
          <w:rFonts w:ascii="Times New Roman" w:hAnsi="Times New Roman" w:cs="Times New Roman"/>
        </w:rPr>
        <w:t>approche</w:t>
      </w:r>
      <w:r w:rsidR="004E22E6">
        <w:rPr>
          <w:rFonts w:ascii="Times New Roman" w:hAnsi="Times New Roman" w:cs="Times New Roman"/>
        </w:rPr>
        <w:t>s américaines comme européennes</w:t>
      </w:r>
      <w:r>
        <w:rPr>
          <w:rFonts w:ascii="Times New Roman" w:hAnsi="Times New Roman" w:cs="Times New Roman"/>
        </w:rPr>
        <w:t xml:space="preserve"> </w:t>
      </w:r>
      <w:r w:rsidR="00FD6812">
        <w:rPr>
          <w:rFonts w:ascii="Times New Roman" w:hAnsi="Times New Roman" w:cs="Times New Roman"/>
        </w:rPr>
        <w:t>en incorporant</w:t>
      </w:r>
      <w:r w:rsidR="00526C99">
        <w:rPr>
          <w:rFonts w:ascii="Times New Roman" w:hAnsi="Times New Roman" w:cs="Times New Roman"/>
        </w:rPr>
        <w:t xml:space="preserve"> au sein de l’AECG, </w:t>
      </w:r>
      <w:r>
        <w:rPr>
          <w:rFonts w:ascii="Times New Roman" w:hAnsi="Times New Roman" w:cs="Times New Roman"/>
        </w:rPr>
        <w:t>de l’ALEUES</w:t>
      </w:r>
      <w:r w:rsidR="00526C99">
        <w:rPr>
          <w:rFonts w:ascii="Times New Roman" w:hAnsi="Times New Roman" w:cs="Times New Roman"/>
        </w:rPr>
        <w:t xml:space="preserve"> et de sa plus récente proposition dans le cadre de sa négociation du Partenariat transatlantique</w:t>
      </w:r>
      <w:r>
        <w:rPr>
          <w:rFonts w:ascii="Times New Roman" w:hAnsi="Times New Roman" w:cs="Times New Roman"/>
        </w:rPr>
        <w:t xml:space="preserve"> une liste non-exhaustive des traitements prohibés</w:t>
      </w:r>
      <w:r w:rsidR="00F74113">
        <w:rPr>
          <w:rFonts w:ascii="Times New Roman" w:hAnsi="Times New Roman" w:cs="Times New Roman"/>
        </w:rPr>
        <w:t xml:space="preserve"> qui s’inspire</w:t>
      </w:r>
      <w:r w:rsidR="004E22E6">
        <w:rPr>
          <w:rFonts w:ascii="Times New Roman" w:hAnsi="Times New Roman" w:cs="Times New Roman"/>
        </w:rPr>
        <w:t xml:space="preserve"> très clairement de la jurisprudence </w:t>
      </w:r>
      <w:r w:rsidR="00F74113">
        <w:rPr>
          <w:rFonts w:ascii="Times New Roman" w:hAnsi="Times New Roman" w:cs="Times New Roman"/>
        </w:rPr>
        <w:t>(</w:t>
      </w:r>
      <w:proofErr w:type="spellStart"/>
      <w:r w:rsidR="00F74113">
        <w:rPr>
          <w:rFonts w:ascii="Times New Roman" w:hAnsi="Times New Roman" w:cs="Times New Roman"/>
        </w:rPr>
        <w:t>Hoff</w:t>
      </w:r>
      <w:r w:rsidR="00E650C3">
        <w:rPr>
          <w:rFonts w:ascii="Times New Roman" w:hAnsi="Times New Roman" w:cs="Times New Roman"/>
        </w:rPr>
        <w:t>meister</w:t>
      </w:r>
      <w:proofErr w:type="spellEnd"/>
      <w:r w:rsidR="00E650C3">
        <w:rPr>
          <w:rFonts w:ascii="Times New Roman" w:hAnsi="Times New Roman" w:cs="Times New Roman"/>
        </w:rPr>
        <w:t xml:space="preserve"> et </w:t>
      </w:r>
      <w:proofErr w:type="spellStart"/>
      <w:r w:rsidR="00E650C3">
        <w:rPr>
          <w:rFonts w:ascii="Times New Roman" w:hAnsi="Times New Roman" w:cs="Times New Roman"/>
        </w:rPr>
        <w:t>Alexandru</w:t>
      </w:r>
      <w:proofErr w:type="spellEnd"/>
      <w:r w:rsidR="009D2096">
        <w:rPr>
          <w:rFonts w:ascii="Times New Roman" w:hAnsi="Times New Roman" w:cs="Times New Roman"/>
        </w:rPr>
        <w:t xml:space="preserve"> 2014 : 392</w:t>
      </w:r>
      <w:r w:rsidR="00F74113">
        <w:rPr>
          <w:rFonts w:ascii="Times New Roman" w:hAnsi="Times New Roman" w:cs="Times New Roman"/>
        </w:rPr>
        <w:t>).</w:t>
      </w:r>
      <w:r w:rsidR="009D2096">
        <w:rPr>
          <w:rFonts w:ascii="Times New Roman" w:hAnsi="Times New Roman" w:cs="Times New Roman"/>
        </w:rPr>
        <w:t xml:space="preserve"> Selon un document européen confidentiel en lien avec la négociation de l’AECG, le Conseil européen refusait catégoriquement </w:t>
      </w:r>
      <w:r w:rsidR="004B5301">
        <w:rPr>
          <w:rFonts w:ascii="Times New Roman" w:hAnsi="Times New Roman" w:cs="Times New Roman"/>
        </w:rPr>
        <w:t xml:space="preserve">d’inclure </w:t>
      </w:r>
      <w:r w:rsidR="009D2096">
        <w:rPr>
          <w:rFonts w:ascii="Times New Roman" w:hAnsi="Times New Roman" w:cs="Times New Roman"/>
        </w:rPr>
        <w:t xml:space="preserve">une référence au droit coutumier et considérait </w:t>
      </w:r>
      <w:r w:rsidR="004B5301">
        <w:rPr>
          <w:rFonts w:ascii="Times New Roman" w:hAnsi="Times New Roman" w:cs="Times New Roman"/>
        </w:rPr>
        <w:t xml:space="preserve">que le fait d’expliciter les éléments du traitement juste et équitable pouvait représenter un terrain d’entente acceptable </w:t>
      </w:r>
      <w:r w:rsidR="00E650C3">
        <w:rPr>
          <w:rFonts w:ascii="Times New Roman" w:hAnsi="Times New Roman" w:cs="Times New Roman"/>
        </w:rPr>
        <w:t>(Lévesque</w:t>
      </w:r>
      <w:r w:rsidR="009D2096">
        <w:rPr>
          <w:rFonts w:ascii="Times New Roman" w:hAnsi="Times New Roman" w:cs="Times New Roman"/>
        </w:rPr>
        <w:t xml:space="preserve"> 2015 : 176). </w:t>
      </w:r>
      <w:r w:rsidR="001D5633">
        <w:rPr>
          <w:rFonts w:ascii="Times New Roman" w:hAnsi="Times New Roman" w:cs="Times New Roman"/>
        </w:rPr>
        <w:t>Aux yeux du Conseil, t</w:t>
      </w:r>
      <w:r w:rsidR="009D2096">
        <w:rPr>
          <w:rFonts w:ascii="Times New Roman" w:hAnsi="Times New Roman" w:cs="Times New Roman"/>
        </w:rPr>
        <w:t>out</w:t>
      </w:r>
      <w:r w:rsidR="001D5633">
        <w:rPr>
          <w:rFonts w:ascii="Times New Roman" w:hAnsi="Times New Roman" w:cs="Times New Roman"/>
        </w:rPr>
        <w:t>e</w:t>
      </w:r>
      <w:r w:rsidR="009D2096">
        <w:rPr>
          <w:rFonts w:ascii="Times New Roman" w:hAnsi="Times New Roman" w:cs="Times New Roman"/>
        </w:rPr>
        <w:t xml:space="preserve"> autre approche </w:t>
      </w:r>
      <w:r w:rsidR="001D5633">
        <w:rPr>
          <w:rFonts w:ascii="Times New Roman" w:hAnsi="Times New Roman" w:cs="Times New Roman"/>
        </w:rPr>
        <w:t>limitait</w:t>
      </w:r>
      <w:r w:rsidR="009D2096">
        <w:rPr>
          <w:rFonts w:ascii="Times New Roman" w:hAnsi="Times New Roman" w:cs="Times New Roman"/>
        </w:rPr>
        <w:t xml:space="preserve"> trop la protection offerte aux investisseurs</w:t>
      </w:r>
      <w:r w:rsidR="001D5633">
        <w:rPr>
          <w:rFonts w:ascii="Times New Roman" w:hAnsi="Times New Roman" w:cs="Times New Roman"/>
        </w:rPr>
        <w:t>.</w:t>
      </w:r>
      <w:r w:rsidR="009D2096">
        <w:rPr>
          <w:rFonts w:ascii="Times New Roman" w:hAnsi="Times New Roman" w:cs="Times New Roman"/>
        </w:rPr>
        <w:t xml:space="preserve"> </w:t>
      </w:r>
      <w:r w:rsidR="00C01A6C">
        <w:rPr>
          <w:rFonts w:ascii="Times New Roman" w:hAnsi="Times New Roman" w:cs="Times New Roman"/>
        </w:rPr>
        <w:t>Détail intéressant, le Parlement européen avait</w:t>
      </w:r>
      <w:r w:rsidR="001D5633">
        <w:rPr>
          <w:rFonts w:ascii="Times New Roman" w:hAnsi="Times New Roman" w:cs="Times New Roman"/>
        </w:rPr>
        <w:t xml:space="preserve"> </w:t>
      </w:r>
      <w:r w:rsidR="00954DE2">
        <w:rPr>
          <w:rFonts w:ascii="Times New Roman" w:hAnsi="Times New Roman" w:cs="Times New Roman"/>
        </w:rPr>
        <w:t>cependant</w:t>
      </w:r>
      <w:r w:rsidR="00C01A6C">
        <w:rPr>
          <w:rFonts w:ascii="Times New Roman" w:hAnsi="Times New Roman" w:cs="Times New Roman"/>
        </w:rPr>
        <w:t xml:space="preserve"> demandé à la Commission européenne de se référer au droit coutumier pour définir le traitement juste et équitable dans </w:t>
      </w:r>
      <w:r w:rsidR="001D5633">
        <w:rPr>
          <w:rFonts w:ascii="Times New Roman" w:hAnsi="Times New Roman" w:cs="Times New Roman"/>
        </w:rPr>
        <w:t xml:space="preserve">son </w:t>
      </w:r>
      <w:r w:rsidR="00C01A6C">
        <w:rPr>
          <w:rFonts w:ascii="Times New Roman" w:hAnsi="Times New Roman" w:cs="Times New Roman"/>
        </w:rPr>
        <w:t>rapport de 2011</w:t>
      </w:r>
      <w:r w:rsidR="00BD3452">
        <w:rPr>
          <w:rFonts w:ascii="Times New Roman" w:hAnsi="Times New Roman" w:cs="Times New Roman"/>
        </w:rPr>
        <w:t xml:space="preserve"> (para 19). </w:t>
      </w:r>
      <w:r w:rsidR="00724B38">
        <w:rPr>
          <w:rFonts w:ascii="Times New Roman" w:hAnsi="Times New Roman" w:cs="Times New Roman"/>
        </w:rPr>
        <w:t>La Commission européenne s’est toutefois rangée derrière le Conseil européen, mais il faut dire qu’en agissant de la sorte ell</w:t>
      </w:r>
      <w:r w:rsidR="00954DE2">
        <w:rPr>
          <w:rFonts w:ascii="Times New Roman" w:hAnsi="Times New Roman" w:cs="Times New Roman"/>
        </w:rPr>
        <w:t xml:space="preserve">e répond certainement au désir général du Parlement européen qui est de préserver le pouvoir règlementaire de l’Union européenne et de ses États membres. </w:t>
      </w:r>
      <w:r w:rsidR="004B5301">
        <w:rPr>
          <w:rFonts w:ascii="Times New Roman" w:hAnsi="Times New Roman" w:cs="Times New Roman"/>
        </w:rPr>
        <w:t>En tenant compte</w:t>
      </w:r>
      <w:r w:rsidR="00954DE2">
        <w:rPr>
          <w:rFonts w:ascii="Times New Roman" w:hAnsi="Times New Roman" w:cs="Times New Roman"/>
        </w:rPr>
        <w:t xml:space="preserve"> du texte plus précis de l’AECG, q</w:t>
      </w:r>
      <w:r w:rsidR="000A10A8">
        <w:rPr>
          <w:rFonts w:ascii="Times New Roman" w:hAnsi="Times New Roman" w:cs="Times New Roman"/>
        </w:rPr>
        <w:t>uatre</w:t>
      </w:r>
      <w:r w:rsidR="00783D15">
        <w:rPr>
          <w:rFonts w:ascii="Times New Roman" w:hAnsi="Times New Roman" w:cs="Times New Roman"/>
        </w:rPr>
        <w:t xml:space="preserve"> points </w:t>
      </w:r>
      <w:r w:rsidR="00954DE2">
        <w:rPr>
          <w:rFonts w:ascii="Times New Roman" w:hAnsi="Times New Roman" w:cs="Times New Roman"/>
        </w:rPr>
        <w:t xml:space="preserve">supplémentaires </w:t>
      </w:r>
      <w:r w:rsidR="00783D15">
        <w:rPr>
          <w:rFonts w:ascii="Times New Roman" w:hAnsi="Times New Roman" w:cs="Times New Roman"/>
        </w:rPr>
        <w:t xml:space="preserve">peuvent être soulignés </w:t>
      </w:r>
    </w:p>
    <w:p w14:paraId="68A73EE8" w14:textId="35A04D12" w:rsidR="00954DE2" w:rsidRDefault="00783D15" w:rsidP="00BA43F7">
      <w:pPr>
        <w:spacing w:before="120" w:after="120" w:line="360" w:lineRule="auto"/>
        <w:jc w:val="both"/>
        <w:rPr>
          <w:rFonts w:ascii="Times New Roman" w:hAnsi="Times New Roman" w:cs="Times New Roman"/>
        </w:rPr>
      </w:pPr>
      <w:r>
        <w:rPr>
          <w:rFonts w:ascii="Times New Roman" w:hAnsi="Times New Roman" w:cs="Times New Roman"/>
        </w:rPr>
        <w:t xml:space="preserve">Premièrement, la liste de traitements prohibés n’est pas exhaustive, ce qui tend à signifier que le contenu exact de cette règle est encore sujet </w:t>
      </w:r>
      <w:proofErr w:type="gramStart"/>
      <w:r>
        <w:rPr>
          <w:rFonts w:ascii="Times New Roman" w:hAnsi="Times New Roman" w:cs="Times New Roman"/>
        </w:rPr>
        <w:t>à</w:t>
      </w:r>
      <w:proofErr w:type="gramEnd"/>
      <w:r>
        <w:rPr>
          <w:rFonts w:ascii="Times New Roman" w:hAnsi="Times New Roman" w:cs="Times New Roman"/>
        </w:rPr>
        <w:t xml:space="preserve"> interprétation et </w:t>
      </w:r>
      <w:r w:rsidR="004B5301">
        <w:rPr>
          <w:rFonts w:ascii="Times New Roman" w:hAnsi="Times New Roman" w:cs="Times New Roman"/>
        </w:rPr>
        <w:t>pourrait continuer d’évoluer</w:t>
      </w:r>
      <w:r>
        <w:rPr>
          <w:rFonts w:ascii="Times New Roman" w:hAnsi="Times New Roman" w:cs="Times New Roman"/>
        </w:rPr>
        <w:t xml:space="preserve">. </w:t>
      </w:r>
      <w:r w:rsidR="00844E05">
        <w:rPr>
          <w:rFonts w:ascii="Times New Roman" w:hAnsi="Times New Roman" w:cs="Times New Roman"/>
        </w:rPr>
        <w:t xml:space="preserve">La stabilité </w:t>
      </w:r>
      <w:proofErr w:type="spellStart"/>
      <w:r w:rsidR="00844E05">
        <w:rPr>
          <w:rFonts w:ascii="Times New Roman" w:hAnsi="Times New Roman" w:cs="Times New Roman"/>
        </w:rPr>
        <w:t>réglementaire</w:t>
      </w:r>
      <w:proofErr w:type="spellEnd"/>
      <w:r w:rsidR="00844E05">
        <w:rPr>
          <w:rFonts w:ascii="Times New Roman" w:hAnsi="Times New Roman" w:cs="Times New Roman"/>
        </w:rPr>
        <w:t xml:space="preserve"> est par exemple un élément généralement discuté dans l’interprétati</w:t>
      </w:r>
      <w:r w:rsidR="00604E0E">
        <w:rPr>
          <w:rFonts w:ascii="Times New Roman" w:hAnsi="Times New Roman" w:cs="Times New Roman"/>
        </w:rPr>
        <w:t>on du traitement juste et équita</w:t>
      </w:r>
      <w:r w:rsidR="00844E05">
        <w:rPr>
          <w:rFonts w:ascii="Times New Roman" w:hAnsi="Times New Roman" w:cs="Times New Roman"/>
        </w:rPr>
        <w:t>ble</w:t>
      </w:r>
      <w:r w:rsidR="00604E0E">
        <w:rPr>
          <w:rFonts w:ascii="Times New Roman" w:hAnsi="Times New Roman" w:cs="Times New Roman"/>
        </w:rPr>
        <w:t xml:space="preserve"> et </w:t>
      </w:r>
      <w:r w:rsidR="00844E05">
        <w:rPr>
          <w:rFonts w:ascii="Times New Roman" w:hAnsi="Times New Roman" w:cs="Times New Roman"/>
        </w:rPr>
        <w:t xml:space="preserve">il est exclu de la liste des traitements prohibés. </w:t>
      </w:r>
      <w:r w:rsidR="004B5301">
        <w:rPr>
          <w:rFonts w:ascii="Times New Roman" w:hAnsi="Times New Roman" w:cs="Times New Roman"/>
        </w:rPr>
        <w:t xml:space="preserve">Un tribunal pourrait-il alors en tenir compte </w:t>
      </w:r>
      <w:r w:rsidR="00844E05">
        <w:rPr>
          <w:rFonts w:ascii="Times New Roman" w:hAnsi="Times New Roman" w:cs="Times New Roman"/>
        </w:rPr>
        <w:t xml:space="preserve">? </w:t>
      </w:r>
      <w:r w:rsidR="004B5301">
        <w:rPr>
          <w:rFonts w:ascii="Times New Roman" w:hAnsi="Times New Roman" w:cs="Times New Roman"/>
        </w:rPr>
        <w:t>La réponse à cette question risque paradoxalement de revenir aux tribunaux.</w:t>
      </w:r>
    </w:p>
    <w:p w14:paraId="751A649B" w14:textId="0ABB7F7E" w:rsidR="00B82267" w:rsidRDefault="00783D15" w:rsidP="00BA43F7">
      <w:pPr>
        <w:spacing w:before="120" w:after="120" w:line="360" w:lineRule="auto"/>
        <w:jc w:val="both"/>
        <w:rPr>
          <w:rFonts w:ascii="Times New Roman" w:hAnsi="Times New Roman" w:cs="Times New Roman"/>
        </w:rPr>
      </w:pPr>
      <w:r>
        <w:rPr>
          <w:rFonts w:ascii="Times New Roman" w:hAnsi="Times New Roman" w:cs="Times New Roman"/>
        </w:rPr>
        <w:lastRenderedPageBreak/>
        <w:t xml:space="preserve">Deuxièmement, le bris des attentes légitimes n’est pas mentionné dans la liste des traitements prohibés, mais il est indiqué </w:t>
      </w:r>
      <w:r w:rsidR="00954DE2">
        <w:rPr>
          <w:rFonts w:ascii="Times New Roman" w:hAnsi="Times New Roman" w:cs="Times New Roman"/>
        </w:rPr>
        <w:t>dans le paragraphe suivant qu’un tribunal</w:t>
      </w:r>
      <w:r>
        <w:rPr>
          <w:rFonts w:ascii="Times New Roman" w:hAnsi="Times New Roman" w:cs="Times New Roman"/>
        </w:rPr>
        <w:t xml:space="preserve"> « [d]</w:t>
      </w:r>
      <w:r w:rsidRPr="00783D15">
        <w:rPr>
          <w:rFonts w:ascii="Times New Roman" w:hAnsi="Times New Roman" w:cs="Times New Roman"/>
        </w:rPr>
        <w:t xml:space="preserve">ans l’application de l’obligation susmentionnée, </w:t>
      </w:r>
      <w:r w:rsidR="00954DE2">
        <w:rPr>
          <w:rFonts w:ascii="Times New Roman" w:hAnsi="Times New Roman" w:cs="Times New Roman"/>
        </w:rPr>
        <w:t xml:space="preserve">[…] </w:t>
      </w:r>
      <w:r w:rsidRPr="00783D15">
        <w:rPr>
          <w:rFonts w:ascii="Times New Roman" w:hAnsi="Times New Roman" w:cs="Times New Roman"/>
        </w:rPr>
        <w:t>peut tenter de déterminer si une Partie a effectué une représentation particulière auprès d’un investisseur, en vue de susciter un investissement visé, laquelle aurait créé une attente légitime</w:t>
      </w:r>
      <w:r>
        <w:rPr>
          <w:rFonts w:ascii="Times New Roman" w:hAnsi="Times New Roman" w:cs="Times New Roman"/>
        </w:rPr>
        <w:t xml:space="preserve"> » (</w:t>
      </w:r>
      <w:r w:rsidR="00D0032F">
        <w:rPr>
          <w:rFonts w:ascii="Times New Roman" w:hAnsi="Times New Roman" w:cs="Times New Roman"/>
        </w:rPr>
        <w:t xml:space="preserve">chapitre 10, </w:t>
      </w:r>
      <w:r>
        <w:rPr>
          <w:rFonts w:ascii="Times New Roman" w:hAnsi="Times New Roman" w:cs="Times New Roman"/>
        </w:rPr>
        <w:t xml:space="preserve">art. X.9 </w:t>
      </w:r>
      <w:r w:rsidR="00D0032F">
        <w:rPr>
          <w:rFonts w:ascii="Times New Roman" w:hAnsi="Times New Roman" w:cs="Times New Roman"/>
        </w:rPr>
        <w:t>(</w:t>
      </w:r>
      <w:r>
        <w:rPr>
          <w:rFonts w:ascii="Times New Roman" w:hAnsi="Times New Roman" w:cs="Times New Roman"/>
        </w:rPr>
        <w:t>4</w:t>
      </w:r>
      <w:r w:rsidR="00D0032F">
        <w:rPr>
          <w:rFonts w:ascii="Times New Roman" w:hAnsi="Times New Roman" w:cs="Times New Roman"/>
        </w:rPr>
        <w:t>)</w:t>
      </w:r>
      <w:r>
        <w:rPr>
          <w:rFonts w:ascii="Times New Roman" w:hAnsi="Times New Roman" w:cs="Times New Roman"/>
        </w:rPr>
        <w:t xml:space="preserve">). Selon cette formulation, il semble donc qu’un tribunal </w:t>
      </w:r>
      <w:r w:rsidR="000A10A8">
        <w:rPr>
          <w:rFonts w:ascii="Times New Roman" w:hAnsi="Times New Roman" w:cs="Times New Roman"/>
        </w:rPr>
        <w:t xml:space="preserve">aurait la liberté d’accepter </w:t>
      </w:r>
      <w:proofErr w:type="gramStart"/>
      <w:r w:rsidR="000A10A8">
        <w:rPr>
          <w:rFonts w:ascii="Times New Roman" w:hAnsi="Times New Roman" w:cs="Times New Roman"/>
        </w:rPr>
        <w:t>ou</w:t>
      </w:r>
      <w:proofErr w:type="gramEnd"/>
      <w:r w:rsidR="000A10A8">
        <w:rPr>
          <w:rFonts w:ascii="Times New Roman" w:hAnsi="Times New Roman" w:cs="Times New Roman"/>
        </w:rPr>
        <w:t xml:space="preserve"> non de prendre en compte les attentes légitimes d’un investisseur. </w:t>
      </w:r>
      <w:r w:rsidR="00954DE2">
        <w:rPr>
          <w:rFonts w:ascii="Times New Roman" w:hAnsi="Times New Roman" w:cs="Times New Roman"/>
        </w:rPr>
        <w:t xml:space="preserve">Il est par ailleurs intéressant de voir que seules des « représentations spécifiques » pourraient </w:t>
      </w:r>
      <w:r w:rsidR="00B82267">
        <w:rPr>
          <w:rFonts w:ascii="Times New Roman" w:hAnsi="Times New Roman" w:cs="Times New Roman"/>
        </w:rPr>
        <w:t>donner lieu à</w:t>
      </w:r>
      <w:r w:rsidR="00954DE2">
        <w:rPr>
          <w:rFonts w:ascii="Times New Roman" w:hAnsi="Times New Roman" w:cs="Times New Roman"/>
        </w:rPr>
        <w:t xml:space="preserve"> </w:t>
      </w:r>
      <w:r w:rsidR="000A10A8">
        <w:rPr>
          <w:rFonts w:ascii="Times New Roman" w:hAnsi="Times New Roman" w:cs="Times New Roman"/>
        </w:rPr>
        <w:t>des attentes légitimes</w:t>
      </w:r>
      <w:r w:rsidR="000A10A8">
        <w:rPr>
          <w:rFonts w:ascii="Times New Roman" w:hAnsi="Times New Roman" w:cs="Times New Roman"/>
          <w:i/>
        </w:rPr>
        <w:t xml:space="preserve">. </w:t>
      </w:r>
      <w:r w:rsidR="00B82267">
        <w:rPr>
          <w:rFonts w:ascii="Times New Roman" w:hAnsi="Times New Roman" w:cs="Times New Roman"/>
        </w:rPr>
        <w:t>Cette précision devrait donc limiter les cas où un investisseur peut plaider le bris de ses attentes légitimes. En tenant compte de la nouvelle formulation, il sera par ailleurs intéressant de voir si un tribunal acceptera qu’un investisseur plaide le bris des attentes légitimes sur une base autonome ou s’il devra automatiquement le lier avec un des traitements prohibés.</w:t>
      </w:r>
    </w:p>
    <w:p w14:paraId="7E63E21F" w14:textId="0D297827" w:rsidR="00954DE2" w:rsidRDefault="000A10A8" w:rsidP="00BA43F7">
      <w:pPr>
        <w:spacing w:before="120" w:after="120" w:line="360" w:lineRule="auto"/>
        <w:jc w:val="both"/>
        <w:rPr>
          <w:rFonts w:ascii="Times New Roman" w:hAnsi="Times New Roman" w:cs="Times New Roman"/>
        </w:rPr>
      </w:pPr>
      <w:r>
        <w:rPr>
          <w:rFonts w:ascii="Times New Roman" w:hAnsi="Times New Roman" w:cs="Times New Roman"/>
        </w:rPr>
        <w:t xml:space="preserve">Troisièmement, il est frappant que </w:t>
      </w:r>
      <w:r w:rsidR="00844E05">
        <w:rPr>
          <w:rFonts w:ascii="Times New Roman" w:hAnsi="Times New Roman" w:cs="Times New Roman"/>
        </w:rPr>
        <w:t xml:space="preserve">pratiquement </w:t>
      </w:r>
      <w:r>
        <w:rPr>
          <w:rFonts w:ascii="Times New Roman" w:hAnsi="Times New Roman" w:cs="Times New Roman"/>
        </w:rPr>
        <w:t xml:space="preserve">tous les traitements prohibés ont un qualificatif </w:t>
      </w:r>
      <w:r w:rsidR="00B82267">
        <w:rPr>
          <w:rFonts w:ascii="Times New Roman" w:hAnsi="Times New Roman" w:cs="Times New Roman"/>
        </w:rPr>
        <w:t>visant clairement à</w:t>
      </w:r>
      <w:r>
        <w:rPr>
          <w:rFonts w:ascii="Times New Roman" w:hAnsi="Times New Roman" w:cs="Times New Roman"/>
        </w:rPr>
        <w:t xml:space="preserve"> limiter </w:t>
      </w:r>
      <w:r w:rsidR="00844E05">
        <w:rPr>
          <w:rFonts w:ascii="Times New Roman" w:hAnsi="Times New Roman" w:cs="Times New Roman"/>
        </w:rPr>
        <w:t>une i</w:t>
      </w:r>
      <w:r>
        <w:rPr>
          <w:rFonts w:ascii="Times New Roman" w:hAnsi="Times New Roman" w:cs="Times New Roman"/>
        </w:rPr>
        <w:t>nterprétation trop large par un tribunal </w:t>
      </w:r>
      <w:r w:rsidR="00844E05">
        <w:rPr>
          <w:rFonts w:ascii="Times New Roman" w:hAnsi="Times New Roman" w:cs="Times New Roman"/>
        </w:rPr>
        <w:t xml:space="preserve">(ex. : </w:t>
      </w:r>
      <w:r>
        <w:rPr>
          <w:rFonts w:ascii="Times New Roman" w:hAnsi="Times New Roman" w:cs="Times New Roman"/>
        </w:rPr>
        <w:t xml:space="preserve">« manquement essentiel </w:t>
      </w:r>
      <w:r w:rsidR="00844E05">
        <w:rPr>
          <w:rFonts w:ascii="Times New Roman" w:hAnsi="Times New Roman" w:cs="Times New Roman"/>
        </w:rPr>
        <w:t xml:space="preserve">», « manifestement arbitraire »). </w:t>
      </w:r>
      <w:r w:rsidR="00C01A6C">
        <w:rPr>
          <w:rFonts w:ascii="Times New Roman" w:hAnsi="Times New Roman" w:cs="Times New Roman"/>
        </w:rPr>
        <w:t xml:space="preserve">À ce sujet, </w:t>
      </w:r>
      <w:proofErr w:type="spellStart"/>
      <w:r w:rsidR="00C01A6C">
        <w:rPr>
          <w:rFonts w:ascii="Times New Roman" w:hAnsi="Times New Roman" w:cs="Times New Roman"/>
        </w:rPr>
        <w:t>Kriebaum</w:t>
      </w:r>
      <w:proofErr w:type="spellEnd"/>
      <w:r w:rsidR="00C01A6C">
        <w:rPr>
          <w:rFonts w:ascii="Times New Roman" w:hAnsi="Times New Roman" w:cs="Times New Roman"/>
        </w:rPr>
        <w:t xml:space="preserve"> soutient que contrairement à l’intention des parties, cet ajout de qualificatif pourrait toutefois créer de nouvelles incertitudes (2014 : </w:t>
      </w:r>
      <w:r w:rsidR="006413DA">
        <w:rPr>
          <w:rFonts w:ascii="Times New Roman" w:hAnsi="Times New Roman" w:cs="Times New Roman"/>
        </w:rPr>
        <w:t xml:space="preserve">482). </w:t>
      </w:r>
      <w:r w:rsidR="00B82267">
        <w:rPr>
          <w:rFonts w:ascii="Times New Roman" w:hAnsi="Times New Roman" w:cs="Times New Roman"/>
        </w:rPr>
        <w:t xml:space="preserve">Est-ce qu’un traitement arbitraire est toujours </w:t>
      </w:r>
      <w:proofErr w:type="spellStart"/>
      <w:r w:rsidR="00B82267">
        <w:rPr>
          <w:rFonts w:ascii="Times New Roman" w:hAnsi="Times New Roman" w:cs="Times New Roman"/>
        </w:rPr>
        <w:t>inderdit</w:t>
      </w:r>
      <w:proofErr w:type="spellEnd"/>
      <w:r w:rsidR="00B82267">
        <w:rPr>
          <w:rFonts w:ascii="Times New Roman" w:hAnsi="Times New Roman" w:cs="Times New Roman"/>
        </w:rPr>
        <w:t xml:space="preserve"> s’il n’est pas manifeste ? Quelle est la différence entre un simple manquement et un manquement essentiel ? Un tribunal doit en effet s’assurer de donner un sens à tous les termes du traité (Convention de Viennes 1969 : art. 31).</w:t>
      </w:r>
    </w:p>
    <w:p w14:paraId="14EAD201" w14:textId="59F4D75D" w:rsidR="00783D15" w:rsidRDefault="00844E05" w:rsidP="00BA43F7">
      <w:pPr>
        <w:spacing w:before="120" w:after="120" w:line="360" w:lineRule="auto"/>
        <w:jc w:val="both"/>
        <w:rPr>
          <w:rFonts w:ascii="Times New Roman" w:hAnsi="Times New Roman" w:cs="Times New Roman"/>
        </w:rPr>
      </w:pPr>
      <w:r>
        <w:rPr>
          <w:rFonts w:ascii="Times New Roman" w:hAnsi="Times New Roman" w:cs="Times New Roman"/>
        </w:rPr>
        <w:t xml:space="preserve">Quatrièmement, les Parties ont prévu que la liste des traitements prohibés pourrait être revue et modifiée. Cela vient donc renforcer le rôle de la mise en œuvre du traité puisque la Commission européenne </w:t>
      </w:r>
      <w:r w:rsidR="00C02A3F">
        <w:rPr>
          <w:rFonts w:ascii="Times New Roman" w:hAnsi="Times New Roman" w:cs="Times New Roman"/>
        </w:rPr>
        <w:t>et</w:t>
      </w:r>
      <w:r>
        <w:rPr>
          <w:rFonts w:ascii="Times New Roman" w:hAnsi="Times New Roman" w:cs="Times New Roman"/>
        </w:rPr>
        <w:t xml:space="preserve"> le gouvernement canadien pourront tenter de garder le contrôle sur les tribunaux</w:t>
      </w:r>
      <w:r w:rsidR="00954DE2">
        <w:rPr>
          <w:rFonts w:ascii="Times New Roman" w:hAnsi="Times New Roman" w:cs="Times New Roman"/>
        </w:rPr>
        <w:t xml:space="preserve"> en balisant leur pouvoir d’interprétation comme cela a </w:t>
      </w:r>
      <w:r>
        <w:rPr>
          <w:rFonts w:ascii="Times New Roman" w:hAnsi="Times New Roman" w:cs="Times New Roman"/>
        </w:rPr>
        <w:t xml:space="preserve">été le cas avec la note interprétative </w:t>
      </w:r>
      <w:r w:rsidR="00954DE2">
        <w:rPr>
          <w:rFonts w:ascii="Times New Roman" w:hAnsi="Times New Roman" w:cs="Times New Roman"/>
        </w:rPr>
        <w:t>que</w:t>
      </w:r>
      <w:r>
        <w:rPr>
          <w:rFonts w:ascii="Times New Roman" w:hAnsi="Times New Roman" w:cs="Times New Roman"/>
        </w:rPr>
        <w:t xml:space="preserve"> les Parties à</w:t>
      </w:r>
      <w:r w:rsidR="00954DE2">
        <w:rPr>
          <w:rFonts w:ascii="Times New Roman" w:hAnsi="Times New Roman" w:cs="Times New Roman"/>
        </w:rPr>
        <w:t xml:space="preserve"> l’ALENA ont adopté</w:t>
      </w:r>
      <w:r w:rsidR="00C02A3F">
        <w:rPr>
          <w:rFonts w:ascii="Times New Roman" w:hAnsi="Times New Roman" w:cs="Times New Roman"/>
        </w:rPr>
        <w:t>e</w:t>
      </w:r>
      <w:r w:rsidR="00954DE2">
        <w:rPr>
          <w:rFonts w:ascii="Times New Roman" w:hAnsi="Times New Roman" w:cs="Times New Roman"/>
        </w:rPr>
        <w:t xml:space="preserve"> en 2001.</w:t>
      </w:r>
      <w:r w:rsidR="00412991">
        <w:rPr>
          <w:rFonts w:ascii="Times New Roman" w:hAnsi="Times New Roman" w:cs="Times New Roman"/>
        </w:rPr>
        <w:t xml:space="preserve"> Comme cela a été précédemment indiqué (</w:t>
      </w:r>
      <w:r w:rsidR="00412991">
        <w:rPr>
          <w:rFonts w:ascii="Times New Roman" w:hAnsi="Times New Roman" w:cs="Times New Roman"/>
          <w:i/>
        </w:rPr>
        <w:t xml:space="preserve">supra </w:t>
      </w:r>
      <w:r w:rsidR="00412991">
        <w:rPr>
          <w:rFonts w:ascii="Times New Roman" w:hAnsi="Times New Roman" w:cs="Times New Roman"/>
        </w:rPr>
        <w:t xml:space="preserve">p. 14), suite à une série de décisions critiquées, les Parties à l’ALENA ont voulu contrôler la mise en œuvre de leur accord en encadrant les possibles futures interprétations </w:t>
      </w:r>
      <w:r w:rsidR="00F07A74">
        <w:rPr>
          <w:rFonts w:ascii="Times New Roman" w:hAnsi="Times New Roman" w:cs="Times New Roman"/>
        </w:rPr>
        <w:t>du concept de traitement juste et équitable. Dans l’éventualité où les Parties à l’AECG se retrouveraient dans une situation similaire où elles étaient mécontentes avec les décisions de tribunaux arbitraux, elles pourraient donc s’impliquer dans la mise en œuvre du traité en adoptant une interprétation obligatoire pour les arbitres.</w:t>
      </w:r>
    </w:p>
    <w:p w14:paraId="0B330BD4" w14:textId="31593173" w:rsidR="00E05E4E" w:rsidRPr="0091332B" w:rsidRDefault="00DD6D61" w:rsidP="00BA161A">
      <w:pPr>
        <w:pStyle w:val="Titre3"/>
        <w:rPr>
          <w:rFonts w:ascii="Times New Roman" w:hAnsi="Times New Roman" w:cs="Times New Roman"/>
          <w:b w:val="0"/>
          <w:i/>
          <w:color w:val="auto"/>
          <w:sz w:val="26"/>
          <w:szCs w:val="26"/>
        </w:rPr>
      </w:pPr>
      <w:bookmarkStart w:id="20" w:name="_Toc313471472"/>
      <w:r w:rsidRPr="0091332B">
        <w:rPr>
          <w:rFonts w:ascii="Times New Roman" w:hAnsi="Times New Roman" w:cs="Times New Roman"/>
          <w:b w:val="0"/>
          <w:i/>
          <w:color w:val="auto"/>
          <w:sz w:val="26"/>
          <w:szCs w:val="26"/>
        </w:rPr>
        <w:lastRenderedPageBreak/>
        <w:t xml:space="preserve">4.2.4 </w:t>
      </w:r>
      <w:r w:rsidR="00BA161A" w:rsidRPr="0091332B">
        <w:rPr>
          <w:rFonts w:ascii="Times New Roman" w:hAnsi="Times New Roman" w:cs="Times New Roman"/>
          <w:b w:val="0"/>
          <w:i/>
          <w:color w:val="auto"/>
          <w:sz w:val="26"/>
          <w:szCs w:val="26"/>
        </w:rPr>
        <w:t>Une adoption presque totale de la norme d’expropriation indirecte américaine</w:t>
      </w:r>
      <w:bookmarkEnd w:id="20"/>
    </w:p>
    <w:p w14:paraId="00B3882A" w14:textId="284FCF55" w:rsidR="00A637A0" w:rsidRDefault="006413DA" w:rsidP="00BA43F7">
      <w:pPr>
        <w:spacing w:before="120" w:after="120" w:line="360" w:lineRule="auto"/>
        <w:jc w:val="both"/>
        <w:rPr>
          <w:rFonts w:ascii="Times New Roman" w:hAnsi="Times New Roman" w:cs="Times New Roman"/>
        </w:rPr>
      </w:pPr>
      <w:r>
        <w:rPr>
          <w:rFonts w:ascii="Times New Roman" w:hAnsi="Times New Roman" w:cs="Times New Roman"/>
        </w:rPr>
        <w:t>En plus du traiteme</w:t>
      </w:r>
      <w:r w:rsidR="00C02A3F">
        <w:rPr>
          <w:rFonts w:ascii="Times New Roman" w:hAnsi="Times New Roman" w:cs="Times New Roman"/>
        </w:rPr>
        <w:t>nt juste et équitable, l’autre</w:t>
      </w:r>
      <w:r>
        <w:rPr>
          <w:rFonts w:ascii="Times New Roman" w:hAnsi="Times New Roman" w:cs="Times New Roman"/>
        </w:rPr>
        <w:t xml:space="preserve"> garantie </w:t>
      </w:r>
      <w:r w:rsidR="00C02A3F">
        <w:rPr>
          <w:rFonts w:ascii="Times New Roman" w:hAnsi="Times New Roman" w:cs="Times New Roman"/>
        </w:rPr>
        <w:t xml:space="preserve">principale </w:t>
      </w:r>
      <w:r>
        <w:rPr>
          <w:rFonts w:ascii="Times New Roman" w:hAnsi="Times New Roman" w:cs="Times New Roman"/>
        </w:rPr>
        <w:t>qu’offrent les traités bilatéraux d’investissement aux investisseurs et investissements étrangers est contre les expropriations. Pour être bien clair, les États peuvent toujours exproprier un investisseur, mais ils se doivent de respecter certains principes clés</w:t>
      </w:r>
      <w:r w:rsidR="00686954">
        <w:rPr>
          <w:rFonts w:ascii="Times New Roman" w:hAnsi="Times New Roman" w:cs="Times New Roman"/>
        </w:rPr>
        <w:t xml:space="preserve"> (</w:t>
      </w:r>
      <w:proofErr w:type="spellStart"/>
      <w:r w:rsidR="00686954">
        <w:rPr>
          <w:rFonts w:ascii="Times New Roman" w:hAnsi="Times New Roman" w:cs="Times New Roman"/>
        </w:rPr>
        <w:t>Nikièma</w:t>
      </w:r>
      <w:proofErr w:type="spellEnd"/>
      <w:r w:rsidR="00686954">
        <w:rPr>
          <w:rFonts w:ascii="Times New Roman" w:hAnsi="Times New Roman" w:cs="Times New Roman"/>
        </w:rPr>
        <w:t xml:space="preserve"> 2012 : 2)</w:t>
      </w:r>
      <w:r>
        <w:rPr>
          <w:rFonts w:ascii="Times New Roman" w:hAnsi="Times New Roman" w:cs="Times New Roman"/>
        </w:rPr>
        <w:t xml:space="preserve">. </w:t>
      </w:r>
      <w:r w:rsidR="00A36C1C">
        <w:rPr>
          <w:rFonts w:ascii="Times New Roman" w:hAnsi="Times New Roman" w:cs="Times New Roman"/>
        </w:rPr>
        <w:t>Ici, l</w:t>
      </w:r>
      <w:r>
        <w:rPr>
          <w:rFonts w:ascii="Times New Roman" w:hAnsi="Times New Roman" w:cs="Times New Roman"/>
        </w:rPr>
        <w:t xml:space="preserve">a Commission européenne n’innove pas et adopte, comme tous les modèles d’accord </w:t>
      </w:r>
      <w:r w:rsidR="00C02A3F">
        <w:rPr>
          <w:rFonts w:ascii="Times New Roman" w:hAnsi="Times New Roman" w:cs="Times New Roman"/>
        </w:rPr>
        <w:t xml:space="preserve">adoptés par ses États membres, </w:t>
      </w:r>
      <w:r>
        <w:rPr>
          <w:rFonts w:ascii="Times New Roman" w:hAnsi="Times New Roman" w:cs="Times New Roman"/>
        </w:rPr>
        <w:t>la formule Hull</w:t>
      </w:r>
      <w:r w:rsidR="00E650C3">
        <w:rPr>
          <w:rFonts w:ascii="Times New Roman" w:hAnsi="Times New Roman" w:cs="Times New Roman"/>
        </w:rPr>
        <w:t xml:space="preserve"> (</w:t>
      </w:r>
      <w:proofErr w:type="spellStart"/>
      <w:r w:rsidR="00E650C3">
        <w:rPr>
          <w:rFonts w:ascii="Times New Roman" w:hAnsi="Times New Roman" w:cs="Times New Roman"/>
        </w:rPr>
        <w:t>Hoffmeister</w:t>
      </w:r>
      <w:proofErr w:type="spellEnd"/>
      <w:r w:rsidR="00E650C3">
        <w:rPr>
          <w:rFonts w:ascii="Times New Roman" w:hAnsi="Times New Roman" w:cs="Times New Roman"/>
        </w:rPr>
        <w:t xml:space="preserve"> et </w:t>
      </w:r>
      <w:proofErr w:type="spellStart"/>
      <w:r w:rsidR="00E650C3">
        <w:rPr>
          <w:rFonts w:ascii="Times New Roman" w:hAnsi="Times New Roman" w:cs="Times New Roman"/>
        </w:rPr>
        <w:t>Alexandru</w:t>
      </w:r>
      <w:proofErr w:type="spellEnd"/>
      <w:r w:rsidR="00954DE2">
        <w:rPr>
          <w:rFonts w:ascii="Times New Roman" w:hAnsi="Times New Roman" w:cs="Times New Roman"/>
        </w:rPr>
        <w:t xml:space="preserve"> 2014 : 394)</w:t>
      </w:r>
      <w:r w:rsidR="00C02A3F">
        <w:rPr>
          <w:rFonts w:ascii="Times New Roman" w:hAnsi="Times New Roman" w:cs="Times New Roman"/>
        </w:rPr>
        <w:t>. Cette dernière</w:t>
      </w:r>
      <w:r w:rsidR="00954DE2">
        <w:rPr>
          <w:rFonts w:ascii="Times New Roman" w:hAnsi="Times New Roman" w:cs="Times New Roman"/>
        </w:rPr>
        <w:t xml:space="preserve"> </w:t>
      </w:r>
      <w:r>
        <w:rPr>
          <w:rFonts w:ascii="Times New Roman" w:hAnsi="Times New Roman" w:cs="Times New Roman"/>
        </w:rPr>
        <w:t xml:space="preserve">découle d’un échange de lettre entre </w:t>
      </w:r>
      <w:proofErr w:type="spellStart"/>
      <w:r>
        <w:rPr>
          <w:rFonts w:ascii="Times New Roman" w:hAnsi="Times New Roman" w:cs="Times New Roman"/>
        </w:rPr>
        <w:t>Cordell</w:t>
      </w:r>
      <w:proofErr w:type="spellEnd"/>
      <w:r>
        <w:rPr>
          <w:rFonts w:ascii="Times New Roman" w:hAnsi="Times New Roman" w:cs="Times New Roman"/>
        </w:rPr>
        <w:t xml:space="preserve"> Hull, secrétaire d’État américain, et son vis-à-vis mexicain en 1938</w:t>
      </w:r>
      <w:r w:rsidR="00954DE2">
        <w:rPr>
          <w:rFonts w:ascii="Times New Roman" w:hAnsi="Times New Roman" w:cs="Times New Roman"/>
        </w:rPr>
        <w:t xml:space="preserve">, </w:t>
      </w:r>
      <w:r w:rsidR="00C02A3F">
        <w:rPr>
          <w:rFonts w:ascii="Times New Roman" w:hAnsi="Times New Roman" w:cs="Times New Roman"/>
        </w:rPr>
        <w:t xml:space="preserve">et </w:t>
      </w:r>
      <w:r w:rsidR="00954DE2">
        <w:rPr>
          <w:rFonts w:ascii="Times New Roman" w:hAnsi="Times New Roman" w:cs="Times New Roman"/>
        </w:rPr>
        <w:t>soutient qu’une expropriation ne peut</w:t>
      </w:r>
      <w:r>
        <w:rPr>
          <w:rFonts w:ascii="Times New Roman" w:hAnsi="Times New Roman" w:cs="Times New Roman"/>
        </w:rPr>
        <w:t xml:space="preserve"> être licite qu’en échange d’une « compensation prompte, adéquate et effective » </w:t>
      </w:r>
      <w:r w:rsidR="00E650C3">
        <w:rPr>
          <w:rFonts w:ascii="Times New Roman" w:hAnsi="Times New Roman" w:cs="Times New Roman"/>
        </w:rPr>
        <w:t>(</w:t>
      </w:r>
      <w:proofErr w:type="spellStart"/>
      <w:r w:rsidR="00E650C3">
        <w:rPr>
          <w:rFonts w:ascii="Times New Roman" w:hAnsi="Times New Roman" w:cs="Times New Roman"/>
        </w:rPr>
        <w:t>Newcombe</w:t>
      </w:r>
      <w:proofErr w:type="spellEnd"/>
      <w:r w:rsidR="00E650C3">
        <w:rPr>
          <w:rFonts w:ascii="Times New Roman" w:hAnsi="Times New Roman" w:cs="Times New Roman"/>
        </w:rPr>
        <w:t xml:space="preserve"> et </w:t>
      </w:r>
      <w:proofErr w:type="spellStart"/>
      <w:r w:rsidR="00E650C3">
        <w:rPr>
          <w:rFonts w:ascii="Times New Roman" w:hAnsi="Times New Roman" w:cs="Times New Roman"/>
        </w:rPr>
        <w:t>Paradell</w:t>
      </w:r>
      <w:proofErr w:type="spellEnd"/>
      <w:r>
        <w:rPr>
          <w:rFonts w:ascii="Times New Roman" w:hAnsi="Times New Roman" w:cs="Times New Roman"/>
        </w:rPr>
        <w:t xml:space="preserve"> 2009 : 18). </w:t>
      </w:r>
      <w:r w:rsidR="006E0F75">
        <w:rPr>
          <w:rFonts w:ascii="Times New Roman" w:hAnsi="Times New Roman" w:cs="Times New Roman"/>
        </w:rPr>
        <w:t>Une expropriation devrait par ailleurs uniquement être effectuée dans le cadre d’un objectif public, en respect de la loi et sans discrimination</w:t>
      </w:r>
      <w:r w:rsidR="00686954">
        <w:rPr>
          <w:rFonts w:ascii="Times New Roman" w:hAnsi="Times New Roman" w:cs="Times New Roman"/>
        </w:rPr>
        <w:t xml:space="preserve"> (</w:t>
      </w:r>
      <w:proofErr w:type="spellStart"/>
      <w:r w:rsidR="00686954">
        <w:rPr>
          <w:rFonts w:ascii="Times New Roman" w:hAnsi="Times New Roman" w:cs="Times New Roman"/>
        </w:rPr>
        <w:t>Nikièma</w:t>
      </w:r>
      <w:proofErr w:type="spellEnd"/>
      <w:r w:rsidR="00686954">
        <w:rPr>
          <w:rFonts w:ascii="Times New Roman" w:hAnsi="Times New Roman" w:cs="Times New Roman"/>
        </w:rPr>
        <w:t xml:space="preserve"> 2012 : 3)</w:t>
      </w:r>
      <w:r w:rsidR="006E0F75">
        <w:rPr>
          <w:rFonts w:ascii="Times New Roman" w:hAnsi="Times New Roman" w:cs="Times New Roman"/>
        </w:rPr>
        <w:t xml:space="preserve">. Ces derniers éléments </w:t>
      </w:r>
      <w:r w:rsidR="00A36C1C">
        <w:rPr>
          <w:rFonts w:ascii="Times New Roman" w:hAnsi="Times New Roman" w:cs="Times New Roman"/>
        </w:rPr>
        <w:t xml:space="preserve">font également partie de la pratique habituelle de tous les États. </w:t>
      </w:r>
    </w:p>
    <w:p w14:paraId="4722F6E8" w14:textId="37BFBEC6" w:rsidR="008902FF" w:rsidRDefault="00A637A0" w:rsidP="00BA43F7">
      <w:pPr>
        <w:spacing w:before="120" w:after="120" w:line="360" w:lineRule="auto"/>
        <w:jc w:val="both"/>
        <w:rPr>
          <w:rFonts w:ascii="Times New Roman" w:eastAsia="Times New Roman" w:hAnsi="Times New Roman" w:cs="Times New Roman"/>
        </w:rPr>
      </w:pPr>
      <w:r>
        <w:rPr>
          <w:rFonts w:ascii="Times New Roman" w:hAnsi="Times New Roman" w:cs="Times New Roman"/>
        </w:rPr>
        <w:t xml:space="preserve">Aujourd’hui, il est rare de voir un État exproprier un investisseur sans </w:t>
      </w:r>
      <w:r w:rsidR="00C02A3F">
        <w:rPr>
          <w:rFonts w:ascii="Times New Roman" w:hAnsi="Times New Roman" w:cs="Times New Roman"/>
        </w:rPr>
        <w:t>respecter les</w:t>
      </w:r>
      <w:r>
        <w:rPr>
          <w:rFonts w:ascii="Times New Roman" w:hAnsi="Times New Roman" w:cs="Times New Roman"/>
        </w:rPr>
        <w:t xml:space="preserve"> critères </w:t>
      </w:r>
      <w:r w:rsidR="00C02A3F">
        <w:rPr>
          <w:rFonts w:ascii="Times New Roman" w:hAnsi="Times New Roman" w:cs="Times New Roman"/>
        </w:rPr>
        <w:t xml:space="preserve">qui viennent d’être énoncés. Il arrive par contre plus souvent qu’un État empêche indirectement un investisseur de jouir de son bien lorsqu’il adopte des politiques publiques. Ce faisant, les questions en lien avec les </w:t>
      </w:r>
      <w:r>
        <w:rPr>
          <w:rFonts w:ascii="Times New Roman" w:hAnsi="Times New Roman" w:cs="Times New Roman"/>
        </w:rPr>
        <w:t xml:space="preserve">expropriations indirectes </w:t>
      </w:r>
      <w:r w:rsidR="00C02A3F">
        <w:rPr>
          <w:rFonts w:ascii="Times New Roman" w:hAnsi="Times New Roman" w:cs="Times New Roman"/>
        </w:rPr>
        <w:t>sont maintenant celles qui méritent le plus d’attention</w:t>
      </w:r>
      <w:r w:rsidR="00686954">
        <w:rPr>
          <w:rFonts w:ascii="Times New Roman" w:hAnsi="Times New Roman" w:cs="Times New Roman"/>
        </w:rPr>
        <w:t xml:space="preserve"> </w:t>
      </w:r>
      <w:r w:rsidR="00B04F23">
        <w:rPr>
          <w:rFonts w:ascii="Times New Roman" w:hAnsi="Times New Roman" w:cs="Times New Roman"/>
        </w:rPr>
        <w:t>(</w:t>
      </w:r>
      <w:proofErr w:type="spellStart"/>
      <w:r w:rsidR="00B04F23">
        <w:rPr>
          <w:rFonts w:ascii="Times New Roman" w:hAnsi="Times New Roman" w:cs="Times New Roman"/>
        </w:rPr>
        <w:t>Dolzer</w:t>
      </w:r>
      <w:proofErr w:type="spellEnd"/>
      <w:r w:rsidR="00B04F23">
        <w:rPr>
          <w:rFonts w:ascii="Times New Roman" w:hAnsi="Times New Roman" w:cs="Times New Roman"/>
        </w:rPr>
        <w:t xml:space="preserve"> 2002)</w:t>
      </w:r>
      <w:r>
        <w:rPr>
          <w:rFonts w:ascii="Times New Roman" w:hAnsi="Times New Roman" w:cs="Times New Roman"/>
        </w:rPr>
        <w:t xml:space="preserve">. Ici aussi, la Commission européenne n’innove pas </w:t>
      </w:r>
      <w:r w:rsidR="00E31DC4">
        <w:rPr>
          <w:rFonts w:ascii="Times New Roman" w:hAnsi="Times New Roman" w:cs="Times New Roman"/>
        </w:rPr>
        <w:t>et</w:t>
      </w:r>
      <w:r w:rsidR="00C02A3F">
        <w:rPr>
          <w:rFonts w:ascii="Times New Roman" w:hAnsi="Times New Roman" w:cs="Times New Roman"/>
        </w:rPr>
        <w:t xml:space="preserve"> s’inspire de</w:t>
      </w:r>
      <w:r w:rsidR="00E31DC4">
        <w:rPr>
          <w:rFonts w:ascii="Times New Roman" w:hAnsi="Times New Roman" w:cs="Times New Roman"/>
        </w:rPr>
        <w:t xml:space="preserve"> l’approche américaine qui s’est développé</w:t>
      </w:r>
      <w:r w:rsidR="00C02A3F">
        <w:rPr>
          <w:rFonts w:ascii="Times New Roman" w:hAnsi="Times New Roman" w:cs="Times New Roman"/>
        </w:rPr>
        <w:t>e</w:t>
      </w:r>
      <w:r w:rsidR="00E31DC4">
        <w:rPr>
          <w:rFonts w:ascii="Times New Roman" w:hAnsi="Times New Roman" w:cs="Times New Roman"/>
        </w:rPr>
        <w:t xml:space="preserve"> depuis le début des années 2000. Une expropriation indirecte est ainsi définie comme « </w:t>
      </w:r>
      <w:r w:rsidR="00E31DC4" w:rsidRPr="00E31DC4">
        <w:rPr>
          <w:rFonts w:ascii="Times New Roman" w:hAnsi="Times New Roman" w:cs="Times New Roman"/>
        </w:rPr>
        <w:t>une mesure ayant un effet équivalent à une nationalisation ou à une expropriation</w:t>
      </w:r>
      <w:r w:rsidR="00E31DC4">
        <w:rPr>
          <w:rFonts w:ascii="Times New Roman" w:hAnsi="Times New Roman" w:cs="Times New Roman"/>
        </w:rPr>
        <w:t xml:space="preserve"> » (</w:t>
      </w:r>
      <w:r w:rsidR="00D0032F">
        <w:rPr>
          <w:rFonts w:ascii="Times New Roman" w:hAnsi="Times New Roman" w:cs="Times New Roman"/>
        </w:rPr>
        <w:t xml:space="preserve">chapitre 10, </w:t>
      </w:r>
      <w:r w:rsidR="00E31DC4">
        <w:rPr>
          <w:rFonts w:ascii="Times New Roman" w:hAnsi="Times New Roman" w:cs="Times New Roman"/>
        </w:rPr>
        <w:t>art. X.11</w:t>
      </w:r>
      <w:r w:rsidR="00D0032F">
        <w:rPr>
          <w:rFonts w:ascii="Times New Roman" w:hAnsi="Times New Roman" w:cs="Times New Roman"/>
        </w:rPr>
        <w:t xml:space="preserve"> (</w:t>
      </w:r>
      <w:r w:rsidR="00E31DC4">
        <w:rPr>
          <w:rFonts w:ascii="Times New Roman" w:hAnsi="Times New Roman" w:cs="Times New Roman"/>
        </w:rPr>
        <w:t>1</w:t>
      </w:r>
      <w:r w:rsidR="00D0032F">
        <w:rPr>
          <w:rFonts w:ascii="Times New Roman" w:hAnsi="Times New Roman" w:cs="Times New Roman"/>
        </w:rPr>
        <w:t>)</w:t>
      </w:r>
      <w:r w:rsidR="00E31DC4">
        <w:rPr>
          <w:rFonts w:ascii="Times New Roman" w:hAnsi="Times New Roman" w:cs="Times New Roman"/>
        </w:rPr>
        <w:t xml:space="preserve">). </w:t>
      </w:r>
      <w:r w:rsidR="00C02A3F">
        <w:rPr>
          <w:rFonts w:ascii="Times New Roman" w:hAnsi="Times New Roman" w:cs="Times New Roman"/>
        </w:rPr>
        <w:t>Une</w:t>
      </w:r>
      <w:r w:rsidR="008902FF">
        <w:rPr>
          <w:rFonts w:ascii="Times New Roman" w:hAnsi="Times New Roman" w:cs="Times New Roman"/>
        </w:rPr>
        <w:t xml:space="preserve"> annexe</w:t>
      </w:r>
      <w:r w:rsidR="00C02A3F">
        <w:rPr>
          <w:rFonts w:ascii="Times New Roman" w:hAnsi="Times New Roman" w:cs="Times New Roman"/>
        </w:rPr>
        <w:t xml:space="preserve"> poursuit cette définition en ajoutant</w:t>
      </w:r>
      <w:r w:rsidR="008902FF">
        <w:rPr>
          <w:rFonts w:ascii="Times New Roman" w:hAnsi="Times New Roman" w:cs="Times New Roman"/>
        </w:rPr>
        <w:t xml:space="preserve"> quatre critères </w:t>
      </w:r>
      <w:r w:rsidR="00C02A3F">
        <w:rPr>
          <w:rFonts w:ascii="Times New Roman" w:hAnsi="Times New Roman" w:cs="Times New Roman"/>
        </w:rPr>
        <w:t>qui doivent être pris</w:t>
      </w:r>
      <w:r w:rsidR="002E1EDA">
        <w:rPr>
          <w:rFonts w:ascii="Times New Roman" w:hAnsi="Times New Roman" w:cs="Times New Roman"/>
        </w:rPr>
        <w:t xml:space="preserve"> en compte </w:t>
      </w:r>
      <w:r w:rsidR="008902FF">
        <w:rPr>
          <w:rFonts w:ascii="Times New Roman" w:hAnsi="Times New Roman" w:cs="Times New Roman"/>
        </w:rPr>
        <w:t>pour déterminer l’existence d’une expropriation indirecte</w:t>
      </w:r>
      <w:r w:rsidR="002E1EDA">
        <w:rPr>
          <w:rFonts w:ascii="Times New Roman" w:hAnsi="Times New Roman" w:cs="Times New Roman"/>
        </w:rPr>
        <w:t xml:space="preserve">. Ces derniers proviennent principalement de la décision de la Cour suprême américaine dans </w:t>
      </w:r>
      <w:r w:rsidR="002E1EDA">
        <w:rPr>
          <w:rFonts w:ascii="Times New Roman" w:eastAsia="Times New Roman" w:hAnsi="Times New Roman" w:cs="Times New Roman"/>
        </w:rPr>
        <w:t xml:space="preserve">l’affaire </w:t>
      </w:r>
      <w:r w:rsidR="002E1EDA" w:rsidRPr="008902FF">
        <w:rPr>
          <w:rFonts w:ascii="Times New Roman" w:eastAsia="Times New Roman" w:hAnsi="Times New Roman" w:cs="Times New Roman"/>
          <w:i/>
        </w:rPr>
        <w:t>Penn Central Transportation Co. v. New York City</w:t>
      </w:r>
      <w:r w:rsidR="00C02A3F">
        <w:rPr>
          <w:rFonts w:ascii="Times New Roman" w:eastAsia="Times New Roman" w:hAnsi="Times New Roman" w:cs="Times New Roman"/>
          <w:i/>
        </w:rPr>
        <w:t xml:space="preserve"> </w:t>
      </w:r>
      <w:r w:rsidR="00C02A3F">
        <w:rPr>
          <w:rFonts w:ascii="Times New Roman" w:eastAsia="Times New Roman" w:hAnsi="Times New Roman" w:cs="Times New Roman"/>
        </w:rPr>
        <w:t>(</w:t>
      </w:r>
      <w:proofErr w:type="spellStart"/>
      <w:r w:rsidR="00C02A3F">
        <w:rPr>
          <w:rFonts w:ascii="Times New Roman" w:eastAsia="Times New Roman" w:hAnsi="Times New Roman" w:cs="Times New Roman"/>
        </w:rPr>
        <w:t>Kriebaum</w:t>
      </w:r>
      <w:proofErr w:type="spellEnd"/>
      <w:r w:rsidR="00C02A3F">
        <w:rPr>
          <w:rFonts w:ascii="Times New Roman" w:eastAsia="Times New Roman" w:hAnsi="Times New Roman" w:cs="Times New Roman"/>
        </w:rPr>
        <w:t xml:space="preserve"> 2014 : 463)</w:t>
      </w:r>
      <w:r w:rsidR="002E1EDA">
        <w:rPr>
          <w:rFonts w:ascii="Times New Roman" w:eastAsia="Times New Roman" w:hAnsi="Times New Roman" w:cs="Times New Roman"/>
          <w:i/>
        </w:rPr>
        <w:t xml:space="preserve"> </w:t>
      </w:r>
      <w:r w:rsidR="002E1EDA">
        <w:rPr>
          <w:rFonts w:ascii="Times New Roman" w:eastAsia="Times New Roman" w:hAnsi="Times New Roman" w:cs="Times New Roman"/>
        </w:rPr>
        <w:t>et</w:t>
      </w:r>
      <w:r w:rsidR="002E1EDA">
        <w:rPr>
          <w:rFonts w:ascii="Times New Roman" w:hAnsi="Times New Roman" w:cs="Times New Roman"/>
        </w:rPr>
        <w:t xml:space="preserve"> sont : l’impact économique, la durée, le niveau d’interférence avec les attentes de l’investisseur </w:t>
      </w:r>
      <w:r w:rsidR="008902FF">
        <w:rPr>
          <w:rFonts w:ascii="Times New Roman" w:hAnsi="Times New Roman" w:cs="Times New Roman"/>
        </w:rPr>
        <w:t>et</w:t>
      </w:r>
      <w:r w:rsidR="002E1EDA">
        <w:rPr>
          <w:rFonts w:ascii="Times New Roman" w:hAnsi="Times New Roman" w:cs="Times New Roman"/>
        </w:rPr>
        <w:t xml:space="preserve"> le caractère de la mesure. De plus, il est </w:t>
      </w:r>
      <w:r w:rsidR="00C02A3F">
        <w:rPr>
          <w:rFonts w:ascii="Times New Roman" w:hAnsi="Times New Roman" w:cs="Times New Roman"/>
        </w:rPr>
        <w:t>précisé</w:t>
      </w:r>
      <w:r w:rsidR="008902FF">
        <w:rPr>
          <w:rFonts w:ascii="Times New Roman" w:hAnsi="Times New Roman" w:cs="Times New Roman"/>
        </w:rPr>
        <w:t xml:space="preserve"> qu’une </w:t>
      </w:r>
      <w:r w:rsidR="00E31DC4">
        <w:rPr>
          <w:rFonts w:ascii="Times New Roman" w:hAnsi="Times New Roman" w:cs="Times New Roman"/>
        </w:rPr>
        <w:t xml:space="preserve">mesure prise dans l’intérêt public ne peut qu’exceptionnellement </w:t>
      </w:r>
      <w:r w:rsidR="002E1EDA">
        <w:rPr>
          <w:rFonts w:ascii="Times New Roman" w:hAnsi="Times New Roman" w:cs="Times New Roman"/>
        </w:rPr>
        <w:t xml:space="preserve">être </w:t>
      </w:r>
      <w:r w:rsidR="00C02A3F">
        <w:rPr>
          <w:rFonts w:ascii="Times New Roman" w:hAnsi="Times New Roman" w:cs="Times New Roman"/>
        </w:rPr>
        <w:t xml:space="preserve">qualifiée comme une </w:t>
      </w:r>
      <w:r w:rsidR="00E31DC4">
        <w:rPr>
          <w:rFonts w:ascii="Times New Roman" w:hAnsi="Times New Roman" w:cs="Times New Roman"/>
        </w:rPr>
        <w:t>expropriation indirecte. C</w:t>
      </w:r>
      <w:r w:rsidR="0024398B">
        <w:rPr>
          <w:rFonts w:ascii="Times New Roman" w:hAnsi="Times New Roman" w:cs="Times New Roman"/>
        </w:rPr>
        <w:t>ette</w:t>
      </w:r>
      <w:r w:rsidR="00E31DC4">
        <w:rPr>
          <w:rFonts w:ascii="Times New Roman" w:hAnsi="Times New Roman" w:cs="Times New Roman"/>
        </w:rPr>
        <w:t xml:space="preserve"> précision</w:t>
      </w:r>
      <w:r w:rsidR="0024398B">
        <w:rPr>
          <w:rFonts w:ascii="Times New Roman" w:hAnsi="Times New Roman" w:cs="Times New Roman"/>
        </w:rPr>
        <w:t xml:space="preserve">, </w:t>
      </w:r>
      <w:r w:rsidR="00E31DC4">
        <w:rPr>
          <w:rFonts w:ascii="Times New Roman" w:hAnsi="Times New Roman" w:cs="Times New Roman"/>
        </w:rPr>
        <w:t>initialement inscrite par les États-Unis au sein d</w:t>
      </w:r>
      <w:r w:rsidR="0024398B">
        <w:rPr>
          <w:rFonts w:ascii="Times New Roman" w:hAnsi="Times New Roman" w:cs="Times New Roman"/>
        </w:rPr>
        <w:t>’un échange de lettre adjoint à son</w:t>
      </w:r>
      <w:r w:rsidR="00E31DC4">
        <w:rPr>
          <w:rFonts w:ascii="Times New Roman" w:hAnsi="Times New Roman" w:cs="Times New Roman"/>
        </w:rPr>
        <w:t xml:space="preserve"> traité de libre-échange </w:t>
      </w:r>
      <w:r w:rsidR="0024398B">
        <w:rPr>
          <w:rFonts w:ascii="Times New Roman" w:hAnsi="Times New Roman" w:cs="Times New Roman"/>
        </w:rPr>
        <w:t>avec Singapour de 2003, fait aussi déjà partie de la pratique</w:t>
      </w:r>
      <w:r w:rsidR="008902FF">
        <w:rPr>
          <w:rFonts w:ascii="Times New Roman" w:hAnsi="Times New Roman" w:cs="Times New Roman"/>
        </w:rPr>
        <w:t xml:space="preserve"> </w:t>
      </w:r>
      <w:r w:rsidR="0024398B">
        <w:rPr>
          <w:rFonts w:ascii="Times New Roman" w:hAnsi="Times New Roman" w:cs="Times New Roman"/>
        </w:rPr>
        <w:t>de plusieurs États</w:t>
      </w:r>
      <w:r w:rsidR="00F07A74">
        <w:rPr>
          <w:rFonts w:ascii="Times New Roman" w:hAnsi="Times New Roman" w:cs="Times New Roman"/>
        </w:rPr>
        <w:t xml:space="preserve"> (USTR 2003 : 2)</w:t>
      </w:r>
      <w:r w:rsidR="0024398B">
        <w:rPr>
          <w:rFonts w:ascii="Times New Roman" w:hAnsi="Times New Roman" w:cs="Times New Roman"/>
        </w:rPr>
        <w:t>.</w:t>
      </w:r>
      <w:r w:rsidR="00E31DC4">
        <w:rPr>
          <w:rFonts w:ascii="Times New Roman" w:hAnsi="Times New Roman" w:cs="Times New Roman"/>
        </w:rPr>
        <w:t xml:space="preserve"> </w:t>
      </w:r>
      <w:r w:rsidR="00C02A3F">
        <w:rPr>
          <w:rFonts w:ascii="Times New Roman" w:hAnsi="Times New Roman" w:cs="Times New Roman"/>
        </w:rPr>
        <w:t>Bien qu’encore absente de la majorité des</w:t>
      </w:r>
      <w:r w:rsidR="0024398B">
        <w:rPr>
          <w:rFonts w:ascii="Times New Roman" w:hAnsi="Times New Roman" w:cs="Times New Roman"/>
        </w:rPr>
        <w:t xml:space="preserve"> traités européens, </w:t>
      </w:r>
      <w:r w:rsidR="008902FF">
        <w:rPr>
          <w:rFonts w:ascii="Times New Roman" w:hAnsi="Times New Roman" w:cs="Times New Roman"/>
        </w:rPr>
        <w:t>l’</w:t>
      </w:r>
      <w:r w:rsidR="00E31DC4">
        <w:rPr>
          <w:rFonts w:ascii="Times New Roman" w:hAnsi="Times New Roman" w:cs="Times New Roman"/>
        </w:rPr>
        <w:t xml:space="preserve">Autriche </w:t>
      </w:r>
      <w:r w:rsidR="0024398B">
        <w:rPr>
          <w:rFonts w:ascii="Times New Roman" w:hAnsi="Times New Roman" w:cs="Times New Roman"/>
        </w:rPr>
        <w:t xml:space="preserve">l’avait </w:t>
      </w:r>
      <w:r w:rsidR="0024398B">
        <w:rPr>
          <w:rFonts w:ascii="Times New Roman" w:hAnsi="Times New Roman" w:cs="Times New Roman"/>
        </w:rPr>
        <w:lastRenderedPageBreak/>
        <w:t xml:space="preserve">notamment ajoutée à </w:t>
      </w:r>
      <w:r w:rsidR="008902FF">
        <w:rPr>
          <w:rFonts w:ascii="Times New Roman" w:hAnsi="Times New Roman" w:cs="Times New Roman"/>
        </w:rPr>
        <w:t xml:space="preserve">son modèle d’accord de 2008 et il n’aurait pas été étonnant de la voir s’étendre aux autres modèles </w:t>
      </w:r>
      <w:r w:rsidR="0043280B">
        <w:rPr>
          <w:rFonts w:ascii="Times New Roman" w:hAnsi="Times New Roman" w:cs="Times New Roman"/>
        </w:rPr>
        <w:t xml:space="preserve">d’accord des pays membres de l’Union européenne </w:t>
      </w:r>
      <w:r w:rsidR="008902FF">
        <w:rPr>
          <w:rFonts w:ascii="Times New Roman" w:hAnsi="Times New Roman" w:cs="Times New Roman"/>
        </w:rPr>
        <w:t>(</w:t>
      </w:r>
      <w:r w:rsidR="00E650C3">
        <w:rPr>
          <w:rFonts w:ascii="Times New Roman" w:eastAsia="Times New Roman" w:hAnsi="Times New Roman" w:cs="Times New Roman"/>
        </w:rPr>
        <w:t>Brown</w:t>
      </w:r>
      <w:r w:rsidR="008902FF" w:rsidRPr="00885460">
        <w:rPr>
          <w:rFonts w:ascii="Times New Roman" w:eastAsia="Times New Roman" w:hAnsi="Times New Roman" w:cs="Times New Roman"/>
        </w:rPr>
        <w:t xml:space="preserve"> 2013</w:t>
      </w:r>
      <w:r w:rsidR="008902FF">
        <w:rPr>
          <w:rFonts w:ascii="Times New Roman" w:eastAsia="Times New Roman" w:hAnsi="Times New Roman" w:cs="Times New Roman"/>
        </w:rPr>
        <w:t xml:space="preserve">). </w:t>
      </w:r>
    </w:p>
    <w:p w14:paraId="537F6086" w14:textId="4E1DB941" w:rsidR="00A637A0" w:rsidRDefault="008F3062"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Trois</w:t>
      </w:r>
      <w:r w:rsidR="008902FF">
        <w:rPr>
          <w:rFonts w:ascii="Times New Roman" w:eastAsia="Times New Roman" w:hAnsi="Times New Roman" w:cs="Times New Roman"/>
        </w:rPr>
        <w:t xml:space="preserve"> élément</w:t>
      </w:r>
      <w:r w:rsidR="002E1EDA">
        <w:rPr>
          <w:rFonts w:ascii="Times New Roman" w:eastAsia="Times New Roman" w:hAnsi="Times New Roman" w:cs="Times New Roman"/>
        </w:rPr>
        <w:t>s</w:t>
      </w:r>
      <w:r w:rsidR="008902FF">
        <w:rPr>
          <w:rFonts w:ascii="Times New Roman" w:eastAsia="Times New Roman" w:hAnsi="Times New Roman" w:cs="Times New Roman"/>
        </w:rPr>
        <w:t xml:space="preserve"> attire</w:t>
      </w:r>
      <w:r w:rsidR="002E1EDA">
        <w:rPr>
          <w:rFonts w:ascii="Times New Roman" w:eastAsia="Times New Roman" w:hAnsi="Times New Roman" w:cs="Times New Roman"/>
        </w:rPr>
        <w:t>nt</w:t>
      </w:r>
      <w:r w:rsidR="008902FF">
        <w:rPr>
          <w:rFonts w:ascii="Times New Roman" w:eastAsia="Times New Roman" w:hAnsi="Times New Roman" w:cs="Times New Roman"/>
        </w:rPr>
        <w:t xml:space="preserve"> </w:t>
      </w:r>
      <w:r w:rsidR="0043280B">
        <w:rPr>
          <w:rFonts w:ascii="Times New Roman" w:eastAsia="Times New Roman" w:hAnsi="Times New Roman" w:cs="Times New Roman"/>
        </w:rPr>
        <w:t>de plus</w:t>
      </w:r>
      <w:r w:rsidR="008902FF">
        <w:rPr>
          <w:rFonts w:ascii="Times New Roman" w:eastAsia="Times New Roman" w:hAnsi="Times New Roman" w:cs="Times New Roman"/>
        </w:rPr>
        <w:t xml:space="preserve"> l’attention</w:t>
      </w:r>
      <w:r w:rsidR="002E1EDA">
        <w:rPr>
          <w:rFonts w:ascii="Times New Roman" w:eastAsia="Times New Roman" w:hAnsi="Times New Roman" w:cs="Times New Roman"/>
        </w:rPr>
        <w:t>.</w:t>
      </w:r>
      <w:r w:rsidR="008902FF">
        <w:rPr>
          <w:rFonts w:ascii="Times New Roman" w:eastAsia="Times New Roman" w:hAnsi="Times New Roman" w:cs="Times New Roman"/>
        </w:rPr>
        <w:t xml:space="preserve"> </w:t>
      </w:r>
      <w:r w:rsidR="002E1EDA">
        <w:rPr>
          <w:rFonts w:ascii="Times New Roman" w:eastAsia="Times New Roman" w:hAnsi="Times New Roman" w:cs="Times New Roman"/>
        </w:rPr>
        <w:t xml:space="preserve">Premièrement, </w:t>
      </w:r>
      <w:r w:rsidR="008902FF">
        <w:rPr>
          <w:rFonts w:ascii="Times New Roman" w:eastAsia="Times New Roman" w:hAnsi="Times New Roman" w:cs="Times New Roman"/>
        </w:rPr>
        <w:t>les critères pour déterminer une expropriation</w:t>
      </w:r>
      <w:r w:rsidR="002E1EDA">
        <w:rPr>
          <w:rFonts w:ascii="Times New Roman" w:eastAsia="Times New Roman" w:hAnsi="Times New Roman" w:cs="Times New Roman"/>
        </w:rPr>
        <w:t xml:space="preserve"> indirecte reprennent</w:t>
      </w:r>
      <w:r w:rsidR="008902FF">
        <w:rPr>
          <w:rFonts w:ascii="Times New Roman" w:eastAsia="Times New Roman" w:hAnsi="Times New Roman" w:cs="Times New Roman"/>
        </w:rPr>
        <w:t xml:space="preserve"> </w:t>
      </w:r>
      <w:r w:rsidR="002E1EDA">
        <w:rPr>
          <w:rFonts w:ascii="Times New Roman" w:eastAsia="Times New Roman" w:hAnsi="Times New Roman" w:cs="Times New Roman"/>
        </w:rPr>
        <w:t>exactement ceux développés par la pratique américaine</w:t>
      </w:r>
      <w:r w:rsidR="008902FF">
        <w:rPr>
          <w:rFonts w:ascii="Times New Roman" w:eastAsia="Times New Roman" w:hAnsi="Times New Roman" w:cs="Times New Roman"/>
          <w:i/>
        </w:rPr>
        <w:t xml:space="preserve"> </w:t>
      </w:r>
      <w:r w:rsidR="008902FF">
        <w:rPr>
          <w:rFonts w:ascii="Times New Roman" w:eastAsia="Times New Roman" w:hAnsi="Times New Roman" w:cs="Times New Roman"/>
        </w:rPr>
        <w:t xml:space="preserve">à un </w:t>
      </w:r>
      <w:r w:rsidR="002E1EDA">
        <w:rPr>
          <w:rFonts w:ascii="Times New Roman" w:eastAsia="Times New Roman" w:hAnsi="Times New Roman" w:cs="Times New Roman"/>
        </w:rPr>
        <w:t>point</w:t>
      </w:r>
      <w:r w:rsidR="008902FF">
        <w:rPr>
          <w:rFonts w:ascii="Times New Roman" w:eastAsia="Times New Roman" w:hAnsi="Times New Roman" w:cs="Times New Roman"/>
        </w:rPr>
        <w:t xml:space="preserve"> près. </w:t>
      </w:r>
      <w:r w:rsidR="002E1EDA">
        <w:rPr>
          <w:rFonts w:ascii="Times New Roman" w:eastAsia="Times New Roman" w:hAnsi="Times New Roman" w:cs="Times New Roman"/>
        </w:rPr>
        <w:t xml:space="preserve">Dans l’AECG, il est indiqué que le caractère d’une mesure devrait notamment être évalué selon l’intention derrière la mesure du gouvernement. </w:t>
      </w:r>
      <w:r w:rsidR="0043280B">
        <w:rPr>
          <w:rFonts w:ascii="Times New Roman" w:eastAsia="Times New Roman" w:hAnsi="Times New Roman" w:cs="Times New Roman"/>
        </w:rPr>
        <w:t xml:space="preserve">L’inclusion de l’intention du gouvernement comme critère </w:t>
      </w:r>
      <w:r w:rsidR="002E1EDA">
        <w:rPr>
          <w:rFonts w:ascii="Times New Roman" w:eastAsia="Times New Roman" w:hAnsi="Times New Roman" w:cs="Times New Roman"/>
        </w:rPr>
        <w:t>est significative puisque</w:t>
      </w:r>
      <w:r w:rsidR="0043280B">
        <w:rPr>
          <w:rFonts w:ascii="Times New Roman" w:eastAsia="Times New Roman" w:hAnsi="Times New Roman" w:cs="Times New Roman"/>
        </w:rPr>
        <w:t xml:space="preserve"> presque tous les tribunaux la rejetaient de</w:t>
      </w:r>
      <w:r w:rsidR="002E1EDA">
        <w:rPr>
          <w:rFonts w:ascii="Times New Roman" w:eastAsia="Times New Roman" w:hAnsi="Times New Roman" w:cs="Times New Roman"/>
        </w:rPr>
        <w:t xml:space="preserve"> leur analyse étant donné que le principe même d’une expropriation in</w:t>
      </w:r>
      <w:r w:rsidR="0024398B">
        <w:rPr>
          <w:rFonts w:ascii="Times New Roman" w:eastAsia="Times New Roman" w:hAnsi="Times New Roman" w:cs="Times New Roman"/>
        </w:rPr>
        <w:t>directe est que son but premier n’est pas directement d’</w:t>
      </w:r>
      <w:r w:rsidR="002E1EDA">
        <w:rPr>
          <w:rFonts w:ascii="Times New Roman" w:eastAsia="Times New Roman" w:hAnsi="Times New Roman" w:cs="Times New Roman"/>
        </w:rPr>
        <w:t>exproprier. Prendre en compte cet élé</w:t>
      </w:r>
      <w:r w:rsidR="0043280B">
        <w:rPr>
          <w:rFonts w:ascii="Times New Roman" w:eastAsia="Times New Roman" w:hAnsi="Times New Roman" w:cs="Times New Roman"/>
        </w:rPr>
        <w:t xml:space="preserve">ment aurait alors pour effet d’exclure </w:t>
      </w:r>
      <w:r w:rsidR="002E1EDA">
        <w:rPr>
          <w:rFonts w:ascii="Times New Roman" w:eastAsia="Times New Roman" w:hAnsi="Times New Roman" w:cs="Times New Roman"/>
        </w:rPr>
        <w:t xml:space="preserve">presque systématiquement </w:t>
      </w:r>
      <w:r w:rsidR="00CD0B29">
        <w:rPr>
          <w:rFonts w:ascii="Times New Roman" w:eastAsia="Times New Roman" w:hAnsi="Times New Roman" w:cs="Times New Roman"/>
        </w:rPr>
        <w:t xml:space="preserve">la possibilité de qualifier une mesure de politique publique d’expropriation indirecte. Il est clair que cet ajout provient de la Commission européenne puisque c’est complètement absent de la pratique </w:t>
      </w:r>
      <w:r w:rsidR="0024398B">
        <w:rPr>
          <w:rFonts w:ascii="Times New Roman" w:eastAsia="Times New Roman" w:hAnsi="Times New Roman" w:cs="Times New Roman"/>
        </w:rPr>
        <w:t xml:space="preserve">canadienne ou </w:t>
      </w:r>
      <w:r w:rsidR="00E650C3">
        <w:rPr>
          <w:rFonts w:ascii="Times New Roman" w:eastAsia="Times New Roman" w:hAnsi="Times New Roman" w:cs="Times New Roman"/>
        </w:rPr>
        <w:t>américaine (</w:t>
      </w:r>
      <w:proofErr w:type="spellStart"/>
      <w:r w:rsidR="00E650C3">
        <w:rPr>
          <w:rFonts w:ascii="Times New Roman" w:eastAsia="Times New Roman" w:hAnsi="Times New Roman" w:cs="Times New Roman"/>
        </w:rPr>
        <w:t>Kriebaum</w:t>
      </w:r>
      <w:proofErr w:type="spellEnd"/>
      <w:r w:rsidR="00CD0B29">
        <w:rPr>
          <w:rFonts w:ascii="Times New Roman" w:eastAsia="Times New Roman" w:hAnsi="Times New Roman" w:cs="Times New Roman"/>
        </w:rPr>
        <w:t xml:space="preserve"> 2014 : 464-465) et qu’il est également prése</w:t>
      </w:r>
      <w:r w:rsidR="0024398B">
        <w:rPr>
          <w:rFonts w:ascii="Times New Roman" w:eastAsia="Times New Roman" w:hAnsi="Times New Roman" w:cs="Times New Roman"/>
        </w:rPr>
        <w:t>nt au sein de l’ALEUES. S’il est évident que son objectif est de protéger le pouvoir règlementaire de l’Union européenne, son inspiration</w:t>
      </w:r>
      <w:r w:rsidR="00CD0B29">
        <w:rPr>
          <w:rFonts w:ascii="Times New Roman" w:eastAsia="Times New Roman" w:hAnsi="Times New Roman" w:cs="Times New Roman"/>
        </w:rPr>
        <w:t xml:space="preserve"> est cependant plus dur</w:t>
      </w:r>
      <w:r w:rsidR="0024398B">
        <w:rPr>
          <w:rFonts w:ascii="Times New Roman" w:eastAsia="Times New Roman" w:hAnsi="Times New Roman" w:cs="Times New Roman"/>
        </w:rPr>
        <w:t>e</w:t>
      </w:r>
      <w:r w:rsidR="00CD0B29">
        <w:rPr>
          <w:rFonts w:ascii="Times New Roman" w:eastAsia="Times New Roman" w:hAnsi="Times New Roman" w:cs="Times New Roman"/>
        </w:rPr>
        <w:t xml:space="preserve"> à distinguer</w:t>
      </w:r>
      <w:r w:rsidR="0024398B">
        <w:rPr>
          <w:rFonts w:ascii="Times New Roman" w:eastAsia="Times New Roman" w:hAnsi="Times New Roman" w:cs="Times New Roman"/>
        </w:rPr>
        <w:t xml:space="preserve">. </w:t>
      </w:r>
      <w:r w:rsidR="0043280B">
        <w:rPr>
          <w:rFonts w:ascii="Times New Roman" w:eastAsia="Times New Roman" w:hAnsi="Times New Roman" w:cs="Times New Roman"/>
        </w:rPr>
        <w:t>Soulignons</w:t>
      </w:r>
      <w:r w:rsidR="00F8562D">
        <w:rPr>
          <w:rFonts w:ascii="Times New Roman" w:eastAsia="Times New Roman" w:hAnsi="Times New Roman" w:cs="Times New Roman"/>
        </w:rPr>
        <w:t xml:space="preserve"> que la plus récente proposition de l’Europe pour le Partenariat transatlantique n’incluait pas l’intention </w:t>
      </w:r>
      <w:r w:rsidR="0043280B">
        <w:rPr>
          <w:rFonts w:ascii="Times New Roman" w:eastAsia="Times New Roman" w:hAnsi="Times New Roman" w:cs="Times New Roman"/>
        </w:rPr>
        <w:t>du gouvernement pour évaluer l’existence d’une expropriation indirecte</w:t>
      </w:r>
      <w:r w:rsidR="00F8562D">
        <w:rPr>
          <w:rFonts w:ascii="Times New Roman" w:eastAsia="Times New Roman" w:hAnsi="Times New Roman" w:cs="Times New Roman"/>
        </w:rPr>
        <w:t xml:space="preserve">. </w:t>
      </w:r>
      <w:r w:rsidR="0043280B">
        <w:rPr>
          <w:rFonts w:ascii="Times New Roman" w:eastAsia="Times New Roman" w:hAnsi="Times New Roman" w:cs="Times New Roman"/>
        </w:rPr>
        <w:t>L</w:t>
      </w:r>
      <w:r w:rsidR="00F8562D">
        <w:rPr>
          <w:rFonts w:ascii="Times New Roman" w:eastAsia="Times New Roman" w:hAnsi="Times New Roman" w:cs="Times New Roman"/>
        </w:rPr>
        <w:t>es États-Unis ont</w:t>
      </w:r>
      <w:r w:rsidR="0043280B">
        <w:rPr>
          <w:rFonts w:ascii="Times New Roman" w:eastAsia="Times New Roman" w:hAnsi="Times New Roman" w:cs="Times New Roman"/>
        </w:rPr>
        <w:t>-ils</w:t>
      </w:r>
      <w:r w:rsidR="00F8562D">
        <w:rPr>
          <w:rFonts w:ascii="Times New Roman" w:eastAsia="Times New Roman" w:hAnsi="Times New Roman" w:cs="Times New Roman"/>
        </w:rPr>
        <w:t xml:space="preserve"> réussi à faire plier la Commission européenne sur ce point ou </w:t>
      </w:r>
      <w:r w:rsidR="0043280B">
        <w:rPr>
          <w:rFonts w:ascii="Times New Roman" w:eastAsia="Times New Roman" w:hAnsi="Times New Roman" w:cs="Times New Roman"/>
        </w:rPr>
        <w:t xml:space="preserve">cette dernière l’a-t-elle </w:t>
      </w:r>
      <w:r w:rsidR="00F8562D">
        <w:rPr>
          <w:rFonts w:ascii="Times New Roman" w:eastAsia="Times New Roman" w:hAnsi="Times New Roman" w:cs="Times New Roman"/>
        </w:rPr>
        <w:t>finalement abandonné ? Cela reste encore à être déterminé.</w:t>
      </w:r>
    </w:p>
    <w:p w14:paraId="3EE095E7" w14:textId="6B4ADD4E" w:rsidR="006A5650" w:rsidRDefault="006A5650" w:rsidP="00BA43F7">
      <w:pPr>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Deuxièmement, selon un récent projet de texte du futur chapitre sur l’investissement du Partenariat transatlantique, la Commission européenne tente d’inclure un test de proportionnalité </w:t>
      </w:r>
      <w:r w:rsidR="0043280B">
        <w:rPr>
          <w:rFonts w:ascii="Times New Roman" w:eastAsia="Times New Roman" w:hAnsi="Times New Roman" w:cs="Times New Roman"/>
        </w:rPr>
        <w:t>afin de préciser</w:t>
      </w:r>
      <w:r>
        <w:rPr>
          <w:rFonts w:ascii="Times New Roman" w:eastAsia="Times New Roman" w:hAnsi="Times New Roman" w:cs="Times New Roman"/>
        </w:rPr>
        <w:t xml:space="preserve"> qu’une mesure de politique publique ne sera qu’exceptionnellement qualifiée d’exception indirecte :</w:t>
      </w:r>
    </w:p>
    <w:p w14:paraId="05602C62" w14:textId="76B50BD6" w:rsidR="006A5650" w:rsidRPr="006A5650" w:rsidRDefault="006A5650" w:rsidP="0043280B">
      <w:pPr>
        <w:spacing w:before="120" w:after="120"/>
        <w:ind w:left="709" w:right="709"/>
        <w:jc w:val="both"/>
        <w:rPr>
          <w:rFonts w:ascii="Times New Roman" w:eastAsia="Times New Roman" w:hAnsi="Times New Roman" w:cs="Times New Roman"/>
          <w:sz w:val="20"/>
          <w:szCs w:val="20"/>
          <w:lang w:val="en-CA"/>
        </w:rPr>
      </w:pPr>
      <w:r w:rsidRPr="006A5650">
        <w:rPr>
          <w:rFonts w:ascii="Times New Roman" w:eastAsia="Times New Roman" w:hAnsi="Times New Roman" w:cs="Times New Roman"/>
          <w:i/>
          <w:sz w:val="20"/>
          <w:szCs w:val="20"/>
          <w:lang w:val="en-CA"/>
        </w:rPr>
        <w:t xml:space="preserve">For greater certainty, non-discriminatory measures of general application taken by a Party that are designed to protect legitimate public policy objectives do not constitute indirect expropriation, </w:t>
      </w:r>
      <w:r w:rsidRPr="006A5650">
        <w:rPr>
          <w:rFonts w:ascii="Times New Roman" w:eastAsia="Times New Roman" w:hAnsi="Times New Roman" w:cs="Times New Roman"/>
          <w:b/>
          <w:i/>
          <w:sz w:val="20"/>
          <w:szCs w:val="20"/>
          <w:lang w:val="en-CA"/>
        </w:rPr>
        <w:t>if they are necessary and proportionate</w:t>
      </w:r>
      <w:r w:rsidRPr="006A5650">
        <w:rPr>
          <w:rFonts w:ascii="Times New Roman" w:eastAsia="Times New Roman" w:hAnsi="Times New Roman" w:cs="Times New Roman"/>
          <w:sz w:val="20"/>
          <w:szCs w:val="20"/>
          <w:lang w:val="en-CA"/>
        </w:rPr>
        <w:t xml:space="preserve"> (</w:t>
      </w:r>
      <w:proofErr w:type="spellStart"/>
      <w:r w:rsidRPr="006A5650">
        <w:rPr>
          <w:rFonts w:ascii="Times New Roman" w:eastAsia="Times New Roman" w:hAnsi="Times New Roman" w:cs="Times New Roman"/>
          <w:sz w:val="20"/>
          <w:szCs w:val="20"/>
          <w:lang w:val="en-CA"/>
        </w:rPr>
        <w:t>cité</w:t>
      </w:r>
      <w:proofErr w:type="spellEnd"/>
      <w:r w:rsidRPr="006A5650">
        <w:rPr>
          <w:rFonts w:ascii="Times New Roman" w:eastAsia="Times New Roman" w:hAnsi="Times New Roman" w:cs="Times New Roman"/>
          <w:sz w:val="20"/>
          <w:szCs w:val="20"/>
          <w:lang w:val="en-CA"/>
        </w:rPr>
        <w:t xml:space="preserve"> </w:t>
      </w:r>
      <w:proofErr w:type="spellStart"/>
      <w:r w:rsidRPr="006A5650">
        <w:rPr>
          <w:rFonts w:ascii="Times New Roman" w:eastAsia="Times New Roman" w:hAnsi="Times New Roman" w:cs="Times New Roman"/>
          <w:sz w:val="20"/>
          <w:szCs w:val="20"/>
          <w:lang w:val="en-CA"/>
        </w:rPr>
        <w:t>dans</w:t>
      </w:r>
      <w:proofErr w:type="spellEnd"/>
      <w:r w:rsidRPr="006A5650">
        <w:rPr>
          <w:rFonts w:ascii="Times New Roman" w:eastAsia="Times New Roman" w:hAnsi="Times New Roman" w:cs="Times New Roman"/>
          <w:sz w:val="20"/>
          <w:szCs w:val="20"/>
          <w:lang w:val="en-CA"/>
        </w:rPr>
        <w:t xml:space="preserve"> </w:t>
      </w:r>
      <w:proofErr w:type="spellStart"/>
      <w:r w:rsidRPr="006A5650">
        <w:rPr>
          <w:rFonts w:ascii="Times New Roman" w:eastAsia="Times New Roman" w:hAnsi="Times New Roman" w:cs="Times New Roman"/>
          <w:sz w:val="20"/>
          <w:szCs w:val="20"/>
          <w:lang w:val="en-CA"/>
        </w:rPr>
        <w:t>Kriebea</w:t>
      </w:r>
      <w:r w:rsidR="00E650C3">
        <w:rPr>
          <w:rFonts w:ascii="Times New Roman" w:eastAsia="Times New Roman" w:hAnsi="Times New Roman" w:cs="Times New Roman"/>
          <w:sz w:val="20"/>
          <w:szCs w:val="20"/>
          <w:lang w:val="en-CA"/>
        </w:rPr>
        <w:t>um</w:t>
      </w:r>
      <w:proofErr w:type="spellEnd"/>
      <w:r w:rsidRPr="006A5650">
        <w:rPr>
          <w:rFonts w:ascii="Times New Roman" w:eastAsia="Times New Roman" w:hAnsi="Times New Roman" w:cs="Times New Roman"/>
          <w:sz w:val="20"/>
          <w:szCs w:val="20"/>
          <w:lang w:val="en-CA"/>
        </w:rPr>
        <w:t xml:space="preserve"> </w:t>
      </w:r>
      <w:proofErr w:type="gramStart"/>
      <w:r w:rsidRPr="006A5650">
        <w:rPr>
          <w:rFonts w:ascii="Times New Roman" w:eastAsia="Times New Roman" w:hAnsi="Times New Roman" w:cs="Times New Roman"/>
          <w:sz w:val="20"/>
          <w:szCs w:val="20"/>
          <w:lang w:val="en-CA"/>
        </w:rPr>
        <w:t>2014 :</w:t>
      </w:r>
      <w:proofErr w:type="gramEnd"/>
      <w:r w:rsidRPr="006A5650">
        <w:rPr>
          <w:rFonts w:ascii="Times New Roman" w:eastAsia="Times New Roman" w:hAnsi="Times New Roman" w:cs="Times New Roman"/>
          <w:sz w:val="20"/>
          <w:szCs w:val="20"/>
          <w:lang w:val="en-CA"/>
        </w:rPr>
        <w:t xml:space="preserve"> 466)</w:t>
      </w:r>
    </w:p>
    <w:p w14:paraId="7C78EDF0" w14:textId="77777777" w:rsidR="006A5650" w:rsidRDefault="006A5650" w:rsidP="00BA43F7">
      <w:pPr>
        <w:spacing w:before="120" w:after="120" w:line="360" w:lineRule="auto"/>
        <w:jc w:val="both"/>
        <w:rPr>
          <w:rFonts w:ascii="Times New Roman" w:hAnsi="Times New Roman" w:cs="Times New Roman"/>
        </w:rPr>
      </w:pPr>
      <w:r w:rsidRPr="006A5650">
        <w:rPr>
          <w:rFonts w:ascii="Times New Roman" w:hAnsi="Times New Roman" w:cs="Times New Roman"/>
        </w:rPr>
        <w:t xml:space="preserve">Selon </w:t>
      </w:r>
      <w:proofErr w:type="spellStart"/>
      <w:r w:rsidRPr="006A5650">
        <w:rPr>
          <w:rFonts w:ascii="Times New Roman" w:hAnsi="Times New Roman" w:cs="Times New Roman"/>
        </w:rPr>
        <w:t>Kriebaum</w:t>
      </w:r>
      <w:proofErr w:type="spellEnd"/>
      <w:r w:rsidRPr="006A5650">
        <w:rPr>
          <w:rFonts w:ascii="Times New Roman" w:hAnsi="Times New Roman" w:cs="Times New Roman"/>
        </w:rPr>
        <w:t>, cette modi</w:t>
      </w:r>
      <w:r>
        <w:rPr>
          <w:rFonts w:ascii="Times New Roman" w:hAnsi="Times New Roman" w:cs="Times New Roman"/>
        </w:rPr>
        <w:t>fication pourrait s’inspirer de la Cour européenne des droits de l’Homme (CEDH) qui possède une riche jurisprudence sur les critères de nécessité et de proportionnalité (2014 : 467).</w:t>
      </w:r>
    </w:p>
    <w:p w14:paraId="3F87C588" w14:textId="1B3E619B" w:rsidR="008F3062" w:rsidRDefault="006A5650" w:rsidP="00BA43F7">
      <w:pPr>
        <w:spacing w:before="120" w:after="120" w:line="360" w:lineRule="auto"/>
        <w:jc w:val="both"/>
        <w:rPr>
          <w:rFonts w:ascii="Times New Roman" w:hAnsi="Times New Roman" w:cs="Times New Roman"/>
        </w:rPr>
      </w:pPr>
      <w:r>
        <w:rPr>
          <w:rFonts w:ascii="Times New Roman" w:hAnsi="Times New Roman" w:cs="Times New Roman"/>
        </w:rPr>
        <w:t>Troisièmement, dans l’AECG et l’ALEUES, l</w:t>
      </w:r>
      <w:r w:rsidR="006A003F">
        <w:rPr>
          <w:rFonts w:ascii="Times New Roman" w:hAnsi="Times New Roman" w:cs="Times New Roman"/>
        </w:rPr>
        <w:t xml:space="preserve">e calcul de la </w:t>
      </w:r>
      <w:r>
        <w:rPr>
          <w:rFonts w:ascii="Times New Roman" w:hAnsi="Times New Roman" w:cs="Times New Roman"/>
        </w:rPr>
        <w:t xml:space="preserve">compensation à </w:t>
      </w:r>
      <w:r w:rsidR="0043280B">
        <w:rPr>
          <w:rFonts w:ascii="Times New Roman" w:hAnsi="Times New Roman" w:cs="Times New Roman"/>
        </w:rPr>
        <w:t>offrir</w:t>
      </w:r>
      <w:r>
        <w:rPr>
          <w:rFonts w:ascii="Times New Roman" w:hAnsi="Times New Roman" w:cs="Times New Roman"/>
        </w:rPr>
        <w:t xml:space="preserve"> suite à une expropriation </w:t>
      </w:r>
      <w:r w:rsidR="006A003F">
        <w:rPr>
          <w:rFonts w:ascii="Times New Roman" w:hAnsi="Times New Roman" w:cs="Times New Roman"/>
        </w:rPr>
        <w:t xml:space="preserve">comprend </w:t>
      </w:r>
      <w:r w:rsidR="008F3062">
        <w:rPr>
          <w:rFonts w:ascii="Times New Roman" w:hAnsi="Times New Roman" w:cs="Times New Roman"/>
        </w:rPr>
        <w:t xml:space="preserve">quelques éléments intéressants. Suite à une expropriation, l’indemnité </w:t>
      </w:r>
      <w:r w:rsidR="0043280B">
        <w:rPr>
          <w:rFonts w:ascii="Times New Roman" w:hAnsi="Times New Roman" w:cs="Times New Roman"/>
        </w:rPr>
        <w:t xml:space="preserve">offerte </w:t>
      </w:r>
      <w:r w:rsidR="008F3062">
        <w:rPr>
          <w:rFonts w:ascii="Times New Roman" w:hAnsi="Times New Roman" w:cs="Times New Roman"/>
        </w:rPr>
        <w:t>devrait équivaloir à :</w:t>
      </w:r>
    </w:p>
    <w:p w14:paraId="37C1B519" w14:textId="2293E551" w:rsidR="008F3062" w:rsidRDefault="00314B6A" w:rsidP="0043280B">
      <w:pPr>
        <w:spacing w:before="120" w:after="120"/>
        <w:ind w:left="709" w:right="709"/>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l</w:t>
      </w:r>
      <w:r w:rsidR="008F3062" w:rsidRPr="008F3062">
        <w:rPr>
          <w:rFonts w:ascii="Times New Roman" w:hAnsi="Times New Roman" w:cs="Times New Roman"/>
          <w:sz w:val="20"/>
          <w:szCs w:val="20"/>
        </w:rPr>
        <w:t>a</w:t>
      </w:r>
      <w:proofErr w:type="gramEnd"/>
      <w:r w:rsidR="008F3062" w:rsidRPr="008F3062">
        <w:rPr>
          <w:rFonts w:ascii="Times New Roman" w:hAnsi="Times New Roman" w:cs="Times New Roman"/>
          <w:sz w:val="20"/>
          <w:szCs w:val="20"/>
        </w:rPr>
        <w:t xml:space="preserve"> juste valeur marchande (</w:t>
      </w:r>
      <w:proofErr w:type="spellStart"/>
      <w:r w:rsidR="008F3062" w:rsidRPr="008F3062">
        <w:rPr>
          <w:rFonts w:ascii="Times New Roman" w:hAnsi="Times New Roman" w:cs="Times New Roman"/>
          <w:i/>
          <w:sz w:val="20"/>
          <w:szCs w:val="20"/>
        </w:rPr>
        <w:t>fair</w:t>
      </w:r>
      <w:proofErr w:type="spellEnd"/>
      <w:r w:rsidR="008F3062" w:rsidRPr="008F3062">
        <w:rPr>
          <w:rFonts w:ascii="Times New Roman" w:hAnsi="Times New Roman" w:cs="Times New Roman"/>
          <w:i/>
          <w:sz w:val="20"/>
          <w:szCs w:val="20"/>
        </w:rPr>
        <w:t xml:space="preserve"> </w:t>
      </w:r>
      <w:proofErr w:type="spellStart"/>
      <w:r w:rsidR="008F3062" w:rsidRPr="008F3062">
        <w:rPr>
          <w:rFonts w:ascii="Times New Roman" w:hAnsi="Times New Roman" w:cs="Times New Roman"/>
          <w:i/>
          <w:sz w:val="20"/>
          <w:szCs w:val="20"/>
        </w:rPr>
        <w:t>market</w:t>
      </w:r>
      <w:proofErr w:type="spellEnd"/>
      <w:r w:rsidR="008F3062" w:rsidRPr="008F3062">
        <w:rPr>
          <w:rFonts w:ascii="Times New Roman" w:hAnsi="Times New Roman" w:cs="Times New Roman"/>
          <w:i/>
          <w:sz w:val="20"/>
          <w:szCs w:val="20"/>
        </w:rPr>
        <w:t xml:space="preserve"> value</w:t>
      </w:r>
      <w:r w:rsidR="008F3062" w:rsidRPr="008F3062">
        <w:rPr>
          <w:rFonts w:ascii="Times New Roman" w:hAnsi="Times New Roman" w:cs="Times New Roman"/>
          <w:sz w:val="20"/>
          <w:szCs w:val="20"/>
        </w:rPr>
        <w:t xml:space="preserve">) […] immédiatement avant que l'expropriation ou que l'imminence de l'expropriation ne devienne publique. </w:t>
      </w:r>
      <w:r w:rsidR="008F3062" w:rsidRPr="008F3062">
        <w:rPr>
          <w:rFonts w:ascii="Times New Roman" w:hAnsi="Times New Roman" w:cs="Times New Roman"/>
          <w:color w:val="000000"/>
          <w:sz w:val="20"/>
          <w:szCs w:val="20"/>
          <w:shd w:val="clear" w:color="auto" w:fill="FFFFFF"/>
        </w:rPr>
        <w:t>Les critères d'évaluation comprennent la valeur d'exploitation, la valeur de l'actif, y compris la valeur fiscale déclarée des biens corporels, et tout autre critère pertinent permettant de déterminer la juste valeur marchande.</w:t>
      </w:r>
      <w:r w:rsidR="008F3062" w:rsidRPr="008F3062">
        <w:rPr>
          <w:rFonts w:ascii="Times New Roman" w:hAnsi="Times New Roman" w:cs="Times New Roman"/>
          <w:sz w:val="20"/>
          <w:szCs w:val="20"/>
        </w:rPr>
        <w:t xml:space="preserve"> » (</w:t>
      </w:r>
      <w:proofErr w:type="gramStart"/>
      <w:r w:rsidR="00D0032F" w:rsidRPr="00D0032F">
        <w:rPr>
          <w:rFonts w:ascii="Times New Roman" w:hAnsi="Times New Roman" w:cs="Times New Roman"/>
          <w:sz w:val="20"/>
          <w:szCs w:val="20"/>
        </w:rPr>
        <w:t>chapitre</w:t>
      </w:r>
      <w:proofErr w:type="gramEnd"/>
      <w:r w:rsidR="00D0032F" w:rsidRPr="00D0032F">
        <w:rPr>
          <w:rFonts w:ascii="Times New Roman" w:hAnsi="Times New Roman" w:cs="Times New Roman"/>
          <w:sz w:val="20"/>
          <w:szCs w:val="20"/>
        </w:rPr>
        <w:t xml:space="preserve"> 10, </w:t>
      </w:r>
      <w:r w:rsidR="008F3062" w:rsidRPr="008F3062">
        <w:rPr>
          <w:rFonts w:ascii="Times New Roman" w:hAnsi="Times New Roman" w:cs="Times New Roman"/>
          <w:sz w:val="20"/>
          <w:szCs w:val="20"/>
        </w:rPr>
        <w:t>art.</w:t>
      </w:r>
      <w:r w:rsidR="00D0032F">
        <w:rPr>
          <w:rFonts w:ascii="Times New Roman" w:hAnsi="Times New Roman" w:cs="Times New Roman"/>
          <w:sz w:val="20"/>
          <w:szCs w:val="20"/>
        </w:rPr>
        <w:t> </w:t>
      </w:r>
      <w:r w:rsidR="008F3062" w:rsidRPr="008F3062">
        <w:rPr>
          <w:rFonts w:ascii="Times New Roman" w:hAnsi="Times New Roman" w:cs="Times New Roman"/>
          <w:sz w:val="20"/>
          <w:szCs w:val="20"/>
        </w:rPr>
        <w:t xml:space="preserve">X.11 </w:t>
      </w:r>
      <w:r w:rsidR="00D0032F">
        <w:rPr>
          <w:rFonts w:ascii="Times New Roman" w:hAnsi="Times New Roman" w:cs="Times New Roman"/>
          <w:sz w:val="20"/>
          <w:szCs w:val="20"/>
        </w:rPr>
        <w:t>(</w:t>
      </w:r>
      <w:r w:rsidR="008F3062" w:rsidRPr="008F3062">
        <w:rPr>
          <w:rFonts w:ascii="Times New Roman" w:hAnsi="Times New Roman" w:cs="Times New Roman"/>
          <w:sz w:val="20"/>
          <w:szCs w:val="20"/>
        </w:rPr>
        <w:t>2</w:t>
      </w:r>
      <w:r w:rsidR="00D0032F">
        <w:rPr>
          <w:rFonts w:ascii="Times New Roman" w:hAnsi="Times New Roman" w:cs="Times New Roman"/>
          <w:sz w:val="20"/>
          <w:szCs w:val="20"/>
        </w:rPr>
        <w:t>)</w:t>
      </w:r>
      <w:r w:rsidR="008F3062" w:rsidRPr="008F3062">
        <w:rPr>
          <w:rFonts w:ascii="Times New Roman" w:hAnsi="Times New Roman" w:cs="Times New Roman"/>
          <w:sz w:val="20"/>
          <w:szCs w:val="20"/>
        </w:rPr>
        <w:t>)</w:t>
      </w:r>
    </w:p>
    <w:p w14:paraId="4D311A55" w14:textId="4CE6C6D0" w:rsidR="0001493B" w:rsidRDefault="008F3062" w:rsidP="00BA43F7">
      <w:pPr>
        <w:spacing w:before="120" w:after="120" w:line="360" w:lineRule="auto"/>
        <w:jc w:val="both"/>
        <w:rPr>
          <w:rFonts w:ascii="Times New Roman" w:hAnsi="Times New Roman" w:cs="Times New Roman"/>
        </w:rPr>
      </w:pPr>
      <w:r w:rsidRPr="008F3062">
        <w:rPr>
          <w:rFonts w:ascii="Times New Roman" w:hAnsi="Times New Roman" w:cs="Times New Roman"/>
          <w:sz w:val="20"/>
          <w:szCs w:val="20"/>
        </w:rPr>
        <w:t xml:space="preserve"> </w:t>
      </w:r>
      <w:r>
        <w:rPr>
          <w:rFonts w:ascii="Times New Roman" w:hAnsi="Times New Roman" w:cs="Times New Roman"/>
        </w:rPr>
        <w:t xml:space="preserve">La décision de faire référence à la juste valeur marchande unifie donc la pratique européenne </w:t>
      </w:r>
      <w:r w:rsidR="0024398B">
        <w:rPr>
          <w:rFonts w:ascii="Times New Roman" w:hAnsi="Times New Roman" w:cs="Times New Roman"/>
        </w:rPr>
        <w:t>autour de la formulation américaine</w:t>
      </w:r>
      <w:r>
        <w:rPr>
          <w:rFonts w:ascii="Times New Roman" w:hAnsi="Times New Roman" w:cs="Times New Roman"/>
        </w:rPr>
        <w:t>. La Commission européenne va toutefois plus loin en indiquant</w:t>
      </w:r>
      <w:r w:rsidR="0024398B">
        <w:rPr>
          <w:rFonts w:ascii="Times New Roman" w:hAnsi="Times New Roman" w:cs="Times New Roman"/>
        </w:rPr>
        <w:t xml:space="preserve"> clairement quels éléments devraie</w:t>
      </w:r>
      <w:r>
        <w:rPr>
          <w:rFonts w:ascii="Times New Roman" w:hAnsi="Times New Roman" w:cs="Times New Roman"/>
        </w:rPr>
        <w:t xml:space="preserve">nt être pris </w:t>
      </w:r>
      <w:r w:rsidR="00A029B9">
        <w:rPr>
          <w:rFonts w:ascii="Times New Roman" w:hAnsi="Times New Roman" w:cs="Times New Roman"/>
        </w:rPr>
        <w:t>en compte dans le calcul de cette juste valeur marchande</w:t>
      </w:r>
      <w:r w:rsidR="0024398B">
        <w:rPr>
          <w:rFonts w:ascii="Times New Roman" w:hAnsi="Times New Roman" w:cs="Times New Roman"/>
        </w:rPr>
        <w:t>; élément</w:t>
      </w:r>
      <w:r w:rsidR="00A029B9">
        <w:rPr>
          <w:rFonts w:ascii="Times New Roman" w:hAnsi="Times New Roman" w:cs="Times New Roman"/>
        </w:rPr>
        <w:t xml:space="preserve"> qui a </w:t>
      </w:r>
      <w:r w:rsidR="0024398B">
        <w:rPr>
          <w:rFonts w:ascii="Times New Roman" w:hAnsi="Times New Roman" w:cs="Times New Roman"/>
        </w:rPr>
        <w:t>soulevé plusieurs questions</w:t>
      </w:r>
      <w:r w:rsidR="00A029B9">
        <w:rPr>
          <w:rFonts w:ascii="Times New Roman" w:hAnsi="Times New Roman" w:cs="Times New Roman"/>
        </w:rPr>
        <w:t xml:space="preserve"> au sein</w:t>
      </w:r>
      <w:r w:rsidR="00E650C3">
        <w:rPr>
          <w:rFonts w:ascii="Times New Roman" w:hAnsi="Times New Roman" w:cs="Times New Roman"/>
        </w:rPr>
        <w:t xml:space="preserve"> de la jurisprudence </w:t>
      </w:r>
      <w:r w:rsidR="0043280B">
        <w:rPr>
          <w:rFonts w:ascii="Times New Roman" w:hAnsi="Times New Roman" w:cs="Times New Roman"/>
        </w:rPr>
        <w:t xml:space="preserve">arbitrale </w:t>
      </w:r>
      <w:r w:rsidR="00E650C3">
        <w:rPr>
          <w:rFonts w:ascii="Times New Roman" w:hAnsi="Times New Roman" w:cs="Times New Roman"/>
        </w:rPr>
        <w:t>(</w:t>
      </w:r>
      <w:proofErr w:type="spellStart"/>
      <w:r w:rsidR="00E650C3">
        <w:rPr>
          <w:rFonts w:ascii="Times New Roman" w:hAnsi="Times New Roman" w:cs="Times New Roman"/>
        </w:rPr>
        <w:t>Newcombe</w:t>
      </w:r>
      <w:proofErr w:type="spellEnd"/>
      <w:r w:rsidR="00E650C3">
        <w:rPr>
          <w:rFonts w:ascii="Times New Roman" w:hAnsi="Times New Roman" w:cs="Times New Roman"/>
        </w:rPr>
        <w:t xml:space="preserve"> et </w:t>
      </w:r>
      <w:proofErr w:type="spellStart"/>
      <w:r w:rsidR="00E650C3">
        <w:rPr>
          <w:rFonts w:ascii="Times New Roman" w:hAnsi="Times New Roman" w:cs="Times New Roman"/>
        </w:rPr>
        <w:t>Paradell</w:t>
      </w:r>
      <w:proofErr w:type="spellEnd"/>
      <w:r w:rsidR="00A029B9">
        <w:rPr>
          <w:rFonts w:ascii="Times New Roman" w:hAnsi="Times New Roman" w:cs="Times New Roman"/>
        </w:rPr>
        <w:t xml:space="preserve"> 2009 : 385-393). Le fait que la liste de critère soit exemplative au lieu d’exhaustive ne met toutefois pas un terme à toutes les incertitudes. De plus, la date à partir de laquelle la valeur </w:t>
      </w:r>
      <w:r w:rsidR="002E5BE8">
        <w:rPr>
          <w:rFonts w:ascii="Times New Roman" w:hAnsi="Times New Roman" w:cs="Times New Roman"/>
        </w:rPr>
        <w:t>de la compensation doit être évaluée attire l’attention</w:t>
      </w:r>
      <w:r w:rsidR="00A029B9">
        <w:rPr>
          <w:rFonts w:ascii="Times New Roman" w:hAnsi="Times New Roman" w:cs="Times New Roman"/>
        </w:rPr>
        <w:t xml:space="preserve">. </w:t>
      </w:r>
      <w:r w:rsidR="00314B6A">
        <w:rPr>
          <w:rFonts w:ascii="Times New Roman" w:hAnsi="Times New Roman" w:cs="Times New Roman"/>
        </w:rPr>
        <w:t xml:space="preserve">La pratique américaine prévoit normalement que la compensation devrait équivaloir à la valeur de l’investissement immédiatement avant </w:t>
      </w:r>
      <w:r w:rsidR="0043280B">
        <w:rPr>
          <w:rFonts w:ascii="Times New Roman" w:hAnsi="Times New Roman" w:cs="Times New Roman"/>
        </w:rPr>
        <w:t>son expropriation</w:t>
      </w:r>
      <w:r w:rsidR="00314B6A">
        <w:rPr>
          <w:rFonts w:ascii="Times New Roman" w:hAnsi="Times New Roman" w:cs="Times New Roman"/>
        </w:rPr>
        <w:t>. La Commission européenne va plus loin en indiquant que l</w:t>
      </w:r>
      <w:r w:rsidR="0001493B">
        <w:rPr>
          <w:rFonts w:ascii="Times New Roman" w:hAnsi="Times New Roman" w:cs="Times New Roman"/>
        </w:rPr>
        <w:t xml:space="preserve">’indemnité </w:t>
      </w:r>
      <w:r w:rsidR="00314B6A">
        <w:rPr>
          <w:rFonts w:ascii="Times New Roman" w:hAnsi="Times New Roman" w:cs="Times New Roman"/>
        </w:rPr>
        <w:t xml:space="preserve">devrait </w:t>
      </w:r>
      <w:r w:rsidR="0001493B">
        <w:rPr>
          <w:rFonts w:ascii="Times New Roman" w:hAnsi="Times New Roman" w:cs="Times New Roman"/>
        </w:rPr>
        <w:t>égaler la valeur de l’investissement</w:t>
      </w:r>
      <w:r w:rsidR="00314B6A">
        <w:rPr>
          <w:rFonts w:ascii="Times New Roman" w:hAnsi="Times New Roman" w:cs="Times New Roman"/>
        </w:rPr>
        <w:t xml:space="preserve"> avant que l’expropriation ne devienne un fait public</w:t>
      </w:r>
      <w:r w:rsidR="00EF6902">
        <w:rPr>
          <w:rFonts w:ascii="Times New Roman" w:hAnsi="Times New Roman" w:cs="Times New Roman"/>
        </w:rPr>
        <w:t xml:space="preserve"> (</w:t>
      </w:r>
      <w:r w:rsidR="00D0032F">
        <w:rPr>
          <w:rFonts w:ascii="Times New Roman" w:hAnsi="Times New Roman" w:cs="Times New Roman"/>
        </w:rPr>
        <w:t xml:space="preserve">chapitre 10, </w:t>
      </w:r>
      <w:r w:rsidR="00EF6902">
        <w:rPr>
          <w:rFonts w:ascii="Times New Roman" w:hAnsi="Times New Roman" w:cs="Times New Roman"/>
        </w:rPr>
        <w:t>art. X.11)</w:t>
      </w:r>
      <w:r w:rsidR="00314B6A">
        <w:rPr>
          <w:rFonts w:ascii="Times New Roman" w:hAnsi="Times New Roman" w:cs="Times New Roman"/>
        </w:rPr>
        <w:t xml:space="preserve">. Cela pourrait avoir un effet important puisque si les deux dates divergent, il est possible qu’un investissement perde de la valeur avant que l’expropriation </w:t>
      </w:r>
      <w:r w:rsidR="00003951">
        <w:rPr>
          <w:rFonts w:ascii="Times New Roman" w:hAnsi="Times New Roman" w:cs="Times New Roman"/>
        </w:rPr>
        <w:t>n’</w:t>
      </w:r>
      <w:r w:rsidR="00314B6A">
        <w:rPr>
          <w:rFonts w:ascii="Times New Roman" w:hAnsi="Times New Roman" w:cs="Times New Roman"/>
        </w:rPr>
        <w:t xml:space="preserve">ait réellement lieu. </w:t>
      </w:r>
      <w:r w:rsidR="0001493B">
        <w:rPr>
          <w:rFonts w:ascii="Times New Roman" w:hAnsi="Times New Roman" w:cs="Times New Roman"/>
        </w:rPr>
        <w:t>Sur ce point, la Commission européenne semble avoir décidé de poursuivre la pratique européenne puisque tous les modèles d’accord européen</w:t>
      </w:r>
      <w:r w:rsidR="00003951">
        <w:rPr>
          <w:rFonts w:ascii="Times New Roman" w:hAnsi="Times New Roman" w:cs="Times New Roman"/>
        </w:rPr>
        <w:t>s</w:t>
      </w:r>
      <w:r w:rsidR="0001493B">
        <w:rPr>
          <w:rFonts w:ascii="Times New Roman" w:hAnsi="Times New Roman" w:cs="Times New Roman"/>
        </w:rPr>
        <w:t xml:space="preserve"> analysés utilisent un langage similaire sur cette question.</w:t>
      </w:r>
      <w:r w:rsidR="00F8562D">
        <w:rPr>
          <w:rFonts w:ascii="Times New Roman" w:hAnsi="Times New Roman" w:cs="Times New Roman"/>
        </w:rPr>
        <w:t xml:space="preserve"> </w:t>
      </w:r>
      <w:r w:rsidR="00003951">
        <w:rPr>
          <w:rFonts w:ascii="Times New Roman" w:hAnsi="Times New Roman" w:cs="Times New Roman"/>
        </w:rPr>
        <w:t>La Commission</w:t>
      </w:r>
      <w:r w:rsidR="00F8562D">
        <w:rPr>
          <w:rFonts w:ascii="Times New Roman" w:hAnsi="Times New Roman" w:cs="Times New Roman"/>
        </w:rPr>
        <w:t xml:space="preserve"> maintient d’ailleurs cette position dans sa négociation avec les États-Unis puisque sa plus récente proposition publiée utilise le même langage que l’AECG sur ce point.</w:t>
      </w:r>
    </w:p>
    <w:p w14:paraId="3CB4C48A" w14:textId="38B36B4C" w:rsidR="00DD6D61" w:rsidRPr="0091332B" w:rsidRDefault="0091332B" w:rsidP="004E3590">
      <w:pPr>
        <w:pStyle w:val="Titre3"/>
        <w:rPr>
          <w:rFonts w:ascii="Times New Roman" w:hAnsi="Times New Roman" w:cs="Times New Roman"/>
          <w:b w:val="0"/>
          <w:i/>
          <w:color w:val="auto"/>
          <w:sz w:val="26"/>
          <w:szCs w:val="26"/>
        </w:rPr>
      </w:pPr>
      <w:bookmarkStart w:id="21" w:name="_Toc313471473"/>
      <w:r>
        <w:rPr>
          <w:rFonts w:ascii="Times New Roman" w:hAnsi="Times New Roman" w:cs="Times New Roman"/>
          <w:b w:val="0"/>
          <w:i/>
          <w:color w:val="auto"/>
          <w:sz w:val="26"/>
          <w:szCs w:val="26"/>
        </w:rPr>
        <w:t>4.2.5</w:t>
      </w:r>
      <w:r w:rsidR="00DD6D61" w:rsidRPr="0091332B">
        <w:rPr>
          <w:rFonts w:ascii="Times New Roman" w:hAnsi="Times New Roman" w:cs="Times New Roman"/>
          <w:b w:val="0"/>
          <w:i/>
          <w:color w:val="auto"/>
          <w:sz w:val="26"/>
          <w:szCs w:val="26"/>
        </w:rPr>
        <w:t xml:space="preserve"> Une liberté de transfert limitée par des conditions européennes</w:t>
      </w:r>
      <w:bookmarkEnd w:id="21"/>
    </w:p>
    <w:p w14:paraId="5A8E4704" w14:textId="45033219" w:rsidR="00681D62" w:rsidRDefault="0001493B" w:rsidP="00BA43F7">
      <w:pPr>
        <w:spacing w:before="120" w:after="120" w:line="360" w:lineRule="auto"/>
        <w:jc w:val="both"/>
        <w:rPr>
          <w:rFonts w:ascii="Times New Roman" w:hAnsi="Times New Roman" w:cs="Times New Roman"/>
        </w:rPr>
      </w:pPr>
      <w:r>
        <w:rPr>
          <w:rFonts w:ascii="Times New Roman" w:hAnsi="Times New Roman" w:cs="Times New Roman"/>
        </w:rPr>
        <w:t xml:space="preserve"> </w:t>
      </w:r>
      <w:r w:rsidR="00681D62">
        <w:rPr>
          <w:rFonts w:ascii="Times New Roman" w:hAnsi="Times New Roman" w:cs="Times New Roman"/>
        </w:rPr>
        <w:t xml:space="preserve">Une autre norme de traitement </w:t>
      </w:r>
      <w:r w:rsidR="0043280B">
        <w:rPr>
          <w:rFonts w:ascii="Times New Roman" w:hAnsi="Times New Roman" w:cs="Times New Roman"/>
        </w:rPr>
        <w:t>incluse dans</w:t>
      </w:r>
      <w:r w:rsidR="00681D62">
        <w:rPr>
          <w:rFonts w:ascii="Times New Roman" w:hAnsi="Times New Roman" w:cs="Times New Roman"/>
        </w:rPr>
        <w:t xml:space="preserve"> le modèle d’accord européen  est la liberté de transfert. Avant l’entrée en vigueur du traité de Lisbonne, cette garantie était déjà relativement uniforme </w:t>
      </w:r>
      <w:r w:rsidR="0064603E">
        <w:rPr>
          <w:rFonts w:ascii="Times New Roman" w:hAnsi="Times New Roman" w:cs="Times New Roman"/>
        </w:rPr>
        <w:t>en ce qui concerne</w:t>
      </w:r>
      <w:r w:rsidR="00681D62">
        <w:rPr>
          <w:rFonts w:ascii="Times New Roman" w:hAnsi="Times New Roman" w:cs="Times New Roman"/>
        </w:rPr>
        <w:t xml:space="preserve"> la pratique américaine et européenne. Une </w:t>
      </w:r>
      <w:r w:rsidR="0001022B">
        <w:rPr>
          <w:rFonts w:ascii="Times New Roman" w:hAnsi="Times New Roman" w:cs="Times New Roman"/>
        </w:rPr>
        <w:t>clause</w:t>
      </w:r>
      <w:r w:rsidR="00681D62">
        <w:rPr>
          <w:rFonts w:ascii="Times New Roman" w:hAnsi="Times New Roman" w:cs="Times New Roman"/>
        </w:rPr>
        <w:t xml:space="preserve"> de sauvegarde est toutefois incluse pour permettre des restrictions temporaires en lien avec la politique monétaire de l’Union européenne.</w:t>
      </w:r>
      <w:r w:rsidR="0001022B">
        <w:rPr>
          <w:rFonts w:ascii="Times New Roman" w:hAnsi="Times New Roman" w:cs="Times New Roman"/>
        </w:rPr>
        <w:t xml:space="preserve"> De plus, les Parties pourront restreindre la liberté des capitaux </w:t>
      </w:r>
      <w:r w:rsidR="009B1B24">
        <w:rPr>
          <w:rFonts w:ascii="Times New Roman" w:hAnsi="Times New Roman" w:cs="Times New Roman"/>
        </w:rPr>
        <w:t xml:space="preserve">en cas de problèmes </w:t>
      </w:r>
      <w:r w:rsidR="0064603E">
        <w:rPr>
          <w:rFonts w:ascii="Times New Roman" w:hAnsi="Times New Roman" w:cs="Times New Roman"/>
        </w:rPr>
        <w:t xml:space="preserve">de balance des paiements, </w:t>
      </w:r>
      <w:r w:rsidR="0001022B">
        <w:rPr>
          <w:rFonts w:ascii="Times New Roman" w:hAnsi="Times New Roman" w:cs="Times New Roman"/>
        </w:rPr>
        <w:t>de sécurité internationale</w:t>
      </w:r>
      <w:r w:rsidR="0064603E">
        <w:rPr>
          <w:rFonts w:ascii="Times New Roman" w:hAnsi="Times New Roman" w:cs="Times New Roman"/>
        </w:rPr>
        <w:t xml:space="preserve"> ou de sanctions économiques</w:t>
      </w:r>
      <w:r w:rsidR="00D0032F">
        <w:rPr>
          <w:rFonts w:ascii="Times New Roman" w:hAnsi="Times New Roman" w:cs="Times New Roman"/>
        </w:rPr>
        <w:t xml:space="preserve"> (chapitre 32, art. X.03 et X.04)</w:t>
      </w:r>
      <w:r w:rsidR="0064603E">
        <w:rPr>
          <w:rFonts w:ascii="Times New Roman" w:hAnsi="Times New Roman" w:cs="Times New Roman"/>
        </w:rPr>
        <w:t>.</w:t>
      </w:r>
      <w:r w:rsidR="0001022B">
        <w:rPr>
          <w:rFonts w:ascii="Times New Roman" w:hAnsi="Times New Roman" w:cs="Times New Roman"/>
        </w:rPr>
        <w:t xml:space="preserve"> Ces </w:t>
      </w:r>
      <w:r w:rsidR="009B1B24">
        <w:rPr>
          <w:rFonts w:ascii="Times New Roman" w:hAnsi="Times New Roman" w:cs="Times New Roman"/>
        </w:rPr>
        <w:t xml:space="preserve">derniers </w:t>
      </w:r>
      <w:r w:rsidR="0001022B">
        <w:rPr>
          <w:rFonts w:ascii="Times New Roman" w:hAnsi="Times New Roman" w:cs="Times New Roman"/>
        </w:rPr>
        <w:t>ajouts étaient particulièrement prévisibles étant donné que la Commission européenne avait déjà poursuivi trois États membres de l’Union européenne (Suède, Finlande et Autriche) devant la CJE sur la base que l</w:t>
      </w:r>
      <w:r w:rsidR="0064603E">
        <w:rPr>
          <w:rFonts w:ascii="Times New Roman" w:hAnsi="Times New Roman" w:cs="Times New Roman"/>
        </w:rPr>
        <w:t>es</w:t>
      </w:r>
      <w:r w:rsidR="0001022B">
        <w:rPr>
          <w:rFonts w:ascii="Times New Roman" w:hAnsi="Times New Roman" w:cs="Times New Roman"/>
        </w:rPr>
        <w:t xml:space="preserve"> garanties de transfert </w:t>
      </w:r>
      <w:r w:rsidR="0064603E">
        <w:rPr>
          <w:rFonts w:ascii="Times New Roman" w:hAnsi="Times New Roman" w:cs="Times New Roman"/>
        </w:rPr>
        <w:t xml:space="preserve">incluses </w:t>
      </w:r>
      <w:r w:rsidR="0001022B">
        <w:rPr>
          <w:rFonts w:ascii="Times New Roman" w:hAnsi="Times New Roman" w:cs="Times New Roman"/>
        </w:rPr>
        <w:t xml:space="preserve">dans leurs traités bilatéraux d’investissement ne respectaient pas le droit européen </w:t>
      </w:r>
      <w:r w:rsidR="0001022B">
        <w:rPr>
          <w:rFonts w:ascii="Times New Roman" w:hAnsi="Times New Roman" w:cs="Times New Roman"/>
        </w:rPr>
        <w:lastRenderedPageBreak/>
        <w:t xml:space="preserve">puisqu’elles ne comportaient pas les </w:t>
      </w:r>
      <w:r w:rsidR="00E650C3">
        <w:rPr>
          <w:rFonts w:ascii="Times New Roman" w:hAnsi="Times New Roman" w:cs="Times New Roman"/>
        </w:rPr>
        <w:t>restrictions précitées (De Luca</w:t>
      </w:r>
      <w:r w:rsidR="0001022B">
        <w:rPr>
          <w:rFonts w:ascii="Times New Roman" w:hAnsi="Times New Roman" w:cs="Times New Roman"/>
        </w:rPr>
        <w:t xml:space="preserve"> 2014 : 529-530). La Commission européenne semble ainsi avoir simplement mis en application ce qu’elle </w:t>
      </w:r>
      <w:r w:rsidR="0064603E">
        <w:rPr>
          <w:rFonts w:ascii="Times New Roman" w:hAnsi="Times New Roman" w:cs="Times New Roman"/>
        </w:rPr>
        <w:t xml:space="preserve">demandait à la CJE qui lui avait d’ailleurs </w:t>
      </w:r>
      <w:r w:rsidR="00960E7F">
        <w:rPr>
          <w:rFonts w:ascii="Times New Roman" w:hAnsi="Times New Roman" w:cs="Times New Roman"/>
        </w:rPr>
        <w:t>donné raison</w:t>
      </w:r>
      <w:r w:rsidR="0001022B">
        <w:rPr>
          <w:rFonts w:ascii="Times New Roman" w:hAnsi="Times New Roman" w:cs="Times New Roman"/>
        </w:rPr>
        <w:t xml:space="preserve">. </w:t>
      </w:r>
    </w:p>
    <w:p w14:paraId="40596F06" w14:textId="7F46BB78" w:rsidR="00E05E4E" w:rsidRPr="0091332B" w:rsidRDefault="00DD6D61" w:rsidP="0091332B">
      <w:pPr>
        <w:pStyle w:val="Titre3"/>
        <w:jc w:val="both"/>
        <w:rPr>
          <w:rFonts w:ascii="Times New Roman" w:hAnsi="Times New Roman" w:cs="Times New Roman"/>
          <w:b w:val="0"/>
          <w:i/>
          <w:color w:val="auto"/>
          <w:sz w:val="26"/>
          <w:szCs w:val="26"/>
        </w:rPr>
      </w:pPr>
      <w:bookmarkStart w:id="22" w:name="_Toc313471474"/>
      <w:r w:rsidRPr="0091332B">
        <w:rPr>
          <w:rFonts w:ascii="Times New Roman" w:hAnsi="Times New Roman" w:cs="Times New Roman"/>
          <w:b w:val="0"/>
          <w:i/>
          <w:color w:val="auto"/>
          <w:sz w:val="26"/>
          <w:szCs w:val="26"/>
        </w:rPr>
        <w:t>4.2.6 Quel futur pour la clause parapluie ?</w:t>
      </w:r>
      <w:bookmarkEnd w:id="22"/>
    </w:p>
    <w:p w14:paraId="4D54BFEC" w14:textId="02216C48" w:rsidR="00DF4634" w:rsidRDefault="00E23FE1" w:rsidP="00BA43F7">
      <w:pPr>
        <w:spacing w:before="120" w:after="120" w:line="360" w:lineRule="auto"/>
        <w:jc w:val="both"/>
        <w:rPr>
          <w:rFonts w:ascii="Times New Roman" w:hAnsi="Times New Roman" w:cs="Times New Roman"/>
        </w:rPr>
      </w:pPr>
      <w:r>
        <w:rPr>
          <w:rFonts w:ascii="Times New Roman" w:hAnsi="Times New Roman" w:cs="Times New Roman"/>
        </w:rPr>
        <w:t>U</w:t>
      </w:r>
      <w:r w:rsidR="00B94111">
        <w:rPr>
          <w:rFonts w:ascii="Times New Roman" w:hAnsi="Times New Roman" w:cs="Times New Roman"/>
        </w:rPr>
        <w:t>ne</w:t>
      </w:r>
      <w:r w:rsidR="0001022B">
        <w:rPr>
          <w:rFonts w:ascii="Times New Roman" w:hAnsi="Times New Roman" w:cs="Times New Roman"/>
        </w:rPr>
        <w:t xml:space="preserve"> dernière norme de traitement</w:t>
      </w:r>
      <w:r w:rsidR="00960E7F">
        <w:rPr>
          <w:rFonts w:ascii="Times New Roman" w:hAnsi="Times New Roman" w:cs="Times New Roman"/>
        </w:rPr>
        <w:t xml:space="preserve"> qui semble pouvoir faire partie du modèle d’accord européen </w:t>
      </w:r>
      <w:r w:rsidR="00B94111">
        <w:rPr>
          <w:rFonts w:ascii="Times New Roman" w:hAnsi="Times New Roman" w:cs="Times New Roman"/>
        </w:rPr>
        <w:t>est la clause parapluie. Cette dernière prévoit que le non-respect d’un engagement pris envers un investisseur serait automatiquement élevé au niveau d’une violation du traité</w:t>
      </w:r>
      <w:r>
        <w:rPr>
          <w:rFonts w:ascii="Times New Roman" w:hAnsi="Times New Roman" w:cs="Times New Roman"/>
        </w:rPr>
        <w:t xml:space="preserve">. </w:t>
      </w:r>
      <w:r w:rsidR="00BC4E88">
        <w:rPr>
          <w:rFonts w:ascii="Times New Roman" w:hAnsi="Times New Roman" w:cs="Times New Roman"/>
        </w:rPr>
        <w:t xml:space="preserve">Cette clause fait partie de la pratique presque constante des traités européens, mais est étonnamment absente de l’AGCS et de </w:t>
      </w:r>
      <w:proofErr w:type="spellStart"/>
      <w:r w:rsidR="00BC4E88">
        <w:rPr>
          <w:rFonts w:ascii="Times New Roman" w:hAnsi="Times New Roman" w:cs="Times New Roman"/>
        </w:rPr>
        <w:t>de</w:t>
      </w:r>
      <w:proofErr w:type="spellEnd"/>
      <w:r w:rsidR="00BC4E88">
        <w:rPr>
          <w:rFonts w:ascii="Times New Roman" w:hAnsi="Times New Roman" w:cs="Times New Roman"/>
        </w:rPr>
        <w:t xml:space="preserve"> l’ALEUES </w:t>
      </w:r>
      <w:r w:rsidR="00E650C3">
        <w:rPr>
          <w:rFonts w:ascii="Times New Roman" w:hAnsi="Times New Roman" w:cs="Times New Roman"/>
        </w:rPr>
        <w:t>(De Luca</w:t>
      </w:r>
      <w:r w:rsidR="00B94111">
        <w:rPr>
          <w:rFonts w:ascii="Times New Roman" w:hAnsi="Times New Roman" w:cs="Times New Roman"/>
        </w:rPr>
        <w:t xml:space="preserve"> 2014 : 508)</w:t>
      </w:r>
      <w:r w:rsidR="00BC4E88">
        <w:rPr>
          <w:rFonts w:ascii="Times New Roman" w:hAnsi="Times New Roman" w:cs="Times New Roman"/>
        </w:rPr>
        <w:t>.</w:t>
      </w:r>
      <w:r>
        <w:rPr>
          <w:rFonts w:ascii="Times New Roman" w:hAnsi="Times New Roman" w:cs="Times New Roman"/>
        </w:rPr>
        <w:t xml:space="preserve"> </w:t>
      </w:r>
      <w:r w:rsidR="00BC4E88">
        <w:rPr>
          <w:rFonts w:ascii="Times New Roman" w:hAnsi="Times New Roman" w:cs="Times New Roman"/>
        </w:rPr>
        <w:t>P</w:t>
      </w:r>
      <w:r>
        <w:rPr>
          <w:rFonts w:ascii="Times New Roman" w:hAnsi="Times New Roman" w:cs="Times New Roman"/>
        </w:rPr>
        <w:t xml:space="preserve">lusieurs </w:t>
      </w:r>
      <w:r w:rsidR="0064603E">
        <w:rPr>
          <w:rFonts w:ascii="Times New Roman" w:hAnsi="Times New Roman" w:cs="Times New Roman"/>
        </w:rPr>
        <w:t>indications donnent</w:t>
      </w:r>
      <w:r w:rsidR="00BC4E88">
        <w:rPr>
          <w:rFonts w:ascii="Times New Roman" w:hAnsi="Times New Roman" w:cs="Times New Roman"/>
        </w:rPr>
        <w:t xml:space="preserve"> toutefois</w:t>
      </w:r>
      <w:r w:rsidR="0064603E">
        <w:rPr>
          <w:rFonts w:ascii="Times New Roman" w:hAnsi="Times New Roman" w:cs="Times New Roman"/>
        </w:rPr>
        <w:t xml:space="preserve"> à penser</w:t>
      </w:r>
      <w:r>
        <w:rPr>
          <w:rFonts w:ascii="Times New Roman" w:hAnsi="Times New Roman" w:cs="Times New Roman"/>
        </w:rPr>
        <w:t xml:space="preserve"> que la Commission européenne désire la poursuivre</w:t>
      </w:r>
      <w:r w:rsidR="00B94111">
        <w:rPr>
          <w:rFonts w:ascii="Times New Roman" w:hAnsi="Times New Roman" w:cs="Times New Roman"/>
        </w:rPr>
        <w:t xml:space="preserve">. </w:t>
      </w:r>
      <w:r>
        <w:rPr>
          <w:rFonts w:ascii="Times New Roman" w:hAnsi="Times New Roman" w:cs="Times New Roman"/>
        </w:rPr>
        <w:t xml:space="preserve">Il peut </w:t>
      </w:r>
      <w:r w:rsidR="0064603E">
        <w:rPr>
          <w:rFonts w:ascii="Times New Roman" w:hAnsi="Times New Roman" w:cs="Times New Roman"/>
        </w:rPr>
        <w:t xml:space="preserve">notamment </w:t>
      </w:r>
      <w:r>
        <w:rPr>
          <w:rFonts w:ascii="Times New Roman" w:hAnsi="Times New Roman" w:cs="Times New Roman"/>
        </w:rPr>
        <w:t>être mis en évidence que le Conseil européen a demandé à la Commission d’inclure ces clauses dans ses futurs traités bilatéraux</w:t>
      </w:r>
      <w:r w:rsidR="007B7A56">
        <w:rPr>
          <w:rFonts w:ascii="Times New Roman" w:hAnsi="Times New Roman" w:cs="Times New Roman"/>
        </w:rPr>
        <w:t xml:space="preserve"> d’investissement en 2010 et qu’</w:t>
      </w:r>
      <w:r w:rsidR="00960E7F">
        <w:rPr>
          <w:rFonts w:ascii="Times New Roman" w:hAnsi="Times New Roman" w:cs="Times New Roman"/>
        </w:rPr>
        <w:t>un texte temporaire du chapitre sur l’investissement de l’AECG obtenu par l’</w:t>
      </w:r>
      <w:r w:rsidR="00303B93">
        <w:rPr>
          <w:rFonts w:ascii="Times New Roman" w:hAnsi="Times New Roman" w:cs="Times New Roman"/>
        </w:rPr>
        <w:t xml:space="preserve">IISD comportait </w:t>
      </w:r>
      <w:r w:rsidR="00D7218C">
        <w:rPr>
          <w:rFonts w:ascii="Times New Roman" w:hAnsi="Times New Roman" w:cs="Times New Roman"/>
        </w:rPr>
        <w:t>une telle clause. La dernière proposition européenne dans le cadre des négociations du Partenariat transatlantique contient par ailleurs une clause parapluie (art. 7). Son exclusion</w:t>
      </w:r>
      <w:r w:rsidR="00303B93">
        <w:rPr>
          <w:rFonts w:ascii="Times New Roman" w:hAnsi="Times New Roman" w:cs="Times New Roman"/>
        </w:rPr>
        <w:t xml:space="preserve"> de l’AECG semble donc attribuable au refus cat</w:t>
      </w:r>
      <w:r w:rsidR="007B7A56">
        <w:rPr>
          <w:rFonts w:ascii="Times New Roman" w:hAnsi="Times New Roman" w:cs="Times New Roman"/>
        </w:rPr>
        <w:t>égorique du Canada d’inclure cette clause</w:t>
      </w:r>
      <w:r w:rsidR="00303B93">
        <w:rPr>
          <w:rFonts w:ascii="Times New Roman" w:hAnsi="Times New Roman" w:cs="Times New Roman"/>
        </w:rPr>
        <w:t xml:space="preserve"> dans ses traités. Il faut toutefois souligner que le Parlement européen avait spécifiquement demandé à la Commission d’évaluer les impacts de </w:t>
      </w:r>
      <w:r w:rsidR="007B7A56">
        <w:rPr>
          <w:rFonts w:ascii="Times New Roman" w:hAnsi="Times New Roman" w:cs="Times New Roman"/>
        </w:rPr>
        <w:t xml:space="preserve">cette clause </w:t>
      </w:r>
      <w:r w:rsidR="00303B93">
        <w:rPr>
          <w:rFonts w:ascii="Times New Roman" w:hAnsi="Times New Roman" w:cs="Times New Roman"/>
        </w:rPr>
        <w:t>qu’elle jugeait potentiellement problématique (2011 : para 20). Il est donc possible que la Commission d</w:t>
      </w:r>
      <w:r w:rsidR="007B7A56">
        <w:rPr>
          <w:rFonts w:ascii="Times New Roman" w:hAnsi="Times New Roman" w:cs="Times New Roman"/>
        </w:rPr>
        <w:t xml:space="preserve">écide finalement d’abandonner son </w:t>
      </w:r>
      <w:r w:rsidR="00303B93">
        <w:rPr>
          <w:rFonts w:ascii="Times New Roman" w:hAnsi="Times New Roman" w:cs="Times New Roman"/>
        </w:rPr>
        <w:t xml:space="preserve">inclusion, </w:t>
      </w:r>
      <w:r w:rsidR="0064603E">
        <w:rPr>
          <w:rFonts w:ascii="Times New Roman" w:hAnsi="Times New Roman" w:cs="Times New Roman"/>
        </w:rPr>
        <w:t xml:space="preserve">de </w:t>
      </w:r>
      <w:proofErr w:type="spellStart"/>
      <w:r w:rsidR="0064603E">
        <w:rPr>
          <w:rFonts w:ascii="Times New Roman" w:hAnsi="Times New Roman" w:cs="Times New Roman"/>
        </w:rPr>
        <w:t>surcroît</w:t>
      </w:r>
      <w:proofErr w:type="spellEnd"/>
      <w:r w:rsidR="0064603E">
        <w:rPr>
          <w:rFonts w:ascii="Times New Roman" w:hAnsi="Times New Roman" w:cs="Times New Roman"/>
        </w:rPr>
        <w:t xml:space="preserve"> si</w:t>
      </w:r>
      <w:r w:rsidR="00303B93">
        <w:rPr>
          <w:rFonts w:ascii="Times New Roman" w:hAnsi="Times New Roman" w:cs="Times New Roman"/>
        </w:rPr>
        <w:t xml:space="preserve"> les États-Unis </w:t>
      </w:r>
      <w:r w:rsidR="00DF4634">
        <w:rPr>
          <w:rFonts w:ascii="Times New Roman" w:hAnsi="Times New Roman" w:cs="Times New Roman"/>
        </w:rPr>
        <w:t>la refusent au sein du Partenariat transatlantique. Advenant que l</w:t>
      </w:r>
      <w:r w:rsidR="0064603E">
        <w:rPr>
          <w:rFonts w:ascii="Times New Roman" w:hAnsi="Times New Roman" w:cs="Times New Roman"/>
        </w:rPr>
        <w:t>a Commission européenne l’inclue</w:t>
      </w:r>
      <w:r w:rsidR="00DF4634">
        <w:rPr>
          <w:rFonts w:ascii="Times New Roman" w:hAnsi="Times New Roman" w:cs="Times New Roman"/>
        </w:rPr>
        <w:t xml:space="preserve"> dans ses futurs traités, cela pourrait d’ailleurs avoir l’effet indésirable de rendre ses traités asymétriques. La clause NPF, précédemment mentionnée</w:t>
      </w:r>
      <w:r w:rsidR="007B7A56">
        <w:rPr>
          <w:rFonts w:ascii="Times New Roman" w:hAnsi="Times New Roman" w:cs="Times New Roman"/>
        </w:rPr>
        <w:t xml:space="preserve">, pourrait en effet l’obliger à </w:t>
      </w:r>
      <w:r w:rsidR="00DF4634">
        <w:rPr>
          <w:rFonts w:ascii="Times New Roman" w:hAnsi="Times New Roman" w:cs="Times New Roman"/>
        </w:rPr>
        <w:t>offrir ce traitement aux investisseurs canadiens ou américains alors que les siens ne pourraient l’invoquer</w:t>
      </w:r>
      <w:r w:rsidR="004207DF">
        <w:rPr>
          <w:rStyle w:val="Marquenotebasdepage"/>
          <w:rFonts w:ascii="Times New Roman" w:hAnsi="Times New Roman" w:cs="Times New Roman"/>
        </w:rPr>
        <w:footnoteReference w:id="4"/>
      </w:r>
      <w:r w:rsidR="00DF4634">
        <w:rPr>
          <w:rFonts w:ascii="Times New Roman" w:hAnsi="Times New Roman" w:cs="Times New Roman"/>
        </w:rPr>
        <w:t xml:space="preserve">. Pour s’en prémunir, il faudrait à tout le moins que la Commission européenne circonscrive mieux cette clause que ne le faisait sa proposition pour l’AECG </w:t>
      </w:r>
      <w:r w:rsidR="007B7A56">
        <w:rPr>
          <w:rFonts w:ascii="Times New Roman" w:hAnsi="Times New Roman" w:cs="Times New Roman"/>
        </w:rPr>
        <w:t xml:space="preserve">qui se lisait </w:t>
      </w:r>
      <w:r w:rsidR="00DF4634">
        <w:rPr>
          <w:rFonts w:ascii="Times New Roman" w:hAnsi="Times New Roman" w:cs="Times New Roman"/>
        </w:rPr>
        <w:t xml:space="preserve">: « </w:t>
      </w:r>
      <w:proofErr w:type="spellStart"/>
      <w:r w:rsidR="00DF4634" w:rsidRPr="00DF4634">
        <w:rPr>
          <w:rFonts w:ascii="Times New Roman" w:hAnsi="Times New Roman" w:cs="Times New Roman"/>
          <w:i/>
        </w:rPr>
        <w:t>Each</w:t>
      </w:r>
      <w:proofErr w:type="spellEnd"/>
      <w:r w:rsidR="00DF4634" w:rsidRPr="00DF4634">
        <w:rPr>
          <w:rFonts w:ascii="Times New Roman" w:hAnsi="Times New Roman" w:cs="Times New Roman"/>
          <w:i/>
        </w:rPr>
        <w:t xml:space="preserve"> Party </w:t>
      </w:r>
      <w:proofErr w:type="spellStart"/>
      <w:r w:rsidR="00DF4634" w:rsidRPr="00DF4634">
        <w:rPr>
          <w:rFonts w:ascii="Times New Roman" w:hAnsi="Times New Roman" w:cs="Times New Roman"/>
          <w:i/>
        </w:rPr>
        <w:t>shall</w:t>
      </w:r>
      <w:proofErr w:type="spellEnd"/>
      <w:r w:rsidR="00DF4634" w:rsidRPr="00DF4634">
        <w:rPr>
          <w:rFonts w:ascii="Times New Roman" w:hAnsi="Times New Roman" w:cs="Times New Roman"/>
          <w:i/>
        </w:rPr>
        <w:t xml:space="preserve"> observe </w:t>
      </w:r>
      <w:proofErr w:type="spellStart"/>
      <w:r w:rsidR="00DF4634" w:rsidRPr="00DF4634">
        <w:rPr>
          <w:rFonts w:ascii="Times New Roman" w:hAnsi="Times New Roman" w:cs="Times New Roman"/>
          <w:i/>
        </w:rPr>
        <w:t>any</w:t>
      </w:r>
      <w:proofErr w:type="spellEnd"/>
      <w:r w:rsidR="00DF4634" w:rsidRPr="00DF4634">
        <w:rPr>
          <w:rFonts w:ascii="Times New Roman" w:hAnsi="Times New Roman" w:cs="Times New Roman"/>
          <w:i/>
        </w:rPr>
        <w:t xml:space="preserve"> obligation </w:t>
      </w:r>
      <w:proofErr w:type="spellStart"/>
      <w:r w:rsidR="00DF4634" w:rsidRPr="00DF4634">
        <w:rPr>
          <w:rFonts w:ascii="Times New Roman" w:hAnsi="Times New Roman" w:cs="Times New Roman"/>
          <w:i/>
        </w:rPr>
        <w:t>it</w:t>
      </w:r>
      <w:proofErr w:type="spellEnd"/>
      <w:r w:rsidR="00DF4634" w:rsidRPr="00DF4634">
        <w:rPr>
          <w:rFonts w:ascii="Times New Roman" w:hAnsi="Times New Roman" w:cs="Times New Roman"/>
          <w:i/>
        </w:rPr>
        <w:t xml:space="preserve"> has </w:t>
      </w:r>
      <w:proofErr w:type="spellStart"/>
      <w:r w:rsidR="00DF4634" w:rsidRPr="00DF4634">
        <w:rPr>
          <w:rFonts w:ascii="Times New Roman" w:hAnsi="Times New Roman" w:cs="Times New Roman"/>
          <w:i/>
        </w:rPr>
        <w:t>entered</w:t>
      </w:r>
      <w:proofErr w:type="spellEnd"/>
      <w:r w:rsidR="00DF4634" w:rsidRPr="00DF4634">
        <w:rPr>
          <w:rFonts w:ascii="Times New Roman" w:hAnsi="Times New Roman" w:cs="Times New Roman"/>
          <w:i/>
        </w:rPr>
        <w:t xml:space="preserve"> </w:t>
      </w:r>
      <w:proofErr w:type="spellStart"/>
      <w:r w:rsidR="00DF4634" w:rsidRPr="00DF4634">
        <w:rPr>
          <w:rFonts w:ascii="Times New Roman" w:hAnsi="Times New Roman" w:cs="Times New Roman"/>
          <w:i/>
        </w:rPr>
        <w:t>into</w:t>
      </w:r>
      <w:proofErr w:type="spellEnd"/>
      <w:r w:rsidR="00DF4634" w:rsidRPr="00DF4634">
        <w:rPr>
          <w:rFonts w:ascii="Times New Roman" w:hAnsi="Times New Roman" w:cs="Times New Roman"/>
          <w:i/>
        </w:rPr>
        <w:t xml:space="preserve"> </w:t>
      </w:r>
      <w:proofErr w:type="spellStart"/>
      <w:r w:rsidR="00DF4634" w:rsidRPr="00DF4634">
        <w:rPr>
          <w:rFonts w:ascii="Times New Roman" w:hAnsi="Times New Roman" w:cs="Times New Roman"/>
          <w:i/>
        </w:rPr>
        <w:t>with</w:t>
      </w:r>
      <w:proofErr w:type="spellEnd"/>
      <w:r w:rsidR="00DF4634" w:rsidRPr="00DF4634">
        <w:rPr>
          <w:rFonts w:ascii="Times New Roman" w:hAnsi="Times New Roman" w:cs="Times New Roman"/>
          <w:i/>
        </w:rPr>
        <w:t xml:space="preserve"> regard to an </w:t>
      </w:r>
      <w:proofErr w:type="spellStart"/>
      <w:r w:rsidR="00DF4634" w:rsidRPr="00DF4634">
        <w:rPr>
          <w:rFonts w:ascii="Times New Roman" w:hAnsi="Times New Roman" w:cs="Times New Roman"/>
          <w:i/>
        </w:rPr>
        <w:t>investor</w:t>
      </w:r>
      <w:proofErr w:type="spellEnd"/>
      <w:r w:rsidR="00DF4634" w:rsidRPr="00DF4634">
        <w:rPr>
          <w:rFonts w:ascii="Times New Roman" w:hAnsi="Times New Roman" w:cs="Times New Roman"/>
          <w:i/>
        </w:rPr>
        <w:t xml:space="preserve"> of the </w:t>
      </w:r>
      <w:proofErr w:type="spellStart"/>
      <w:r w:rsidR="00DF4634" w:rsidRPr="00DF4634">
        <w:rPr>
          <w:rFonts w:ascii="Times New Roman" w:hAnsi="Times New Roman" w:cs="Times New Roman"/>
          <w:i/>
        </w:rPr>
        <w:t>other</w:t>
      </w:r>
      <w:proofErr w:type="spellEnd"/>
      <w:r w:rsidR="00DF4634" w:rsidRPr="00DF4634">
        <w:rPr>
          <w:rFonts w:ascii="Times New Roman" w:hAnsi="Times New Roman" w:cs="Times New Roman"/>
          <w:i/>
        </w:rPr>
        <w:t xml:space="preserve"> Party or an </w:t>
      </w:r>
      <w:proofErr w:type="spellStart"/>
      <w:r w:rsidR="00DF4634" w:rsidRPr="00DF4634">
        <w:rPr>
          <w:rFonts w:ascii="Times New Roman" w:hAnsi="Times New Roman" w:cs="Times New Roman"/>
          <w:i/>
        </w:rPr>
        <w:t>investment</w:t>
      </w:r>
      <w:proofErr w:type="spellEnd"/>
      <w:r w:rsidR="00DF4634" w:rsidRPr="00DF4634">
        <w:rPr>
          <w:rFonts w:ascii="Times New Roman" w:hAnsi="Times New Roman" w:cs="Times New Roman"/>
          <w:i/>
        </w:rPr>
        <w:t xml:space="preserve"> of </w:t>
      </w:r>
      <w:proofErr w:type="spellStart"/>
      <w:r w:rsidR="00DF4634" w:rsidRPr="00DF4634">
        <w:rPr>
          <w:rFonts w:ascii="Times New Roman" w:hAnsi="Times New Roman" w:cs="Times New Roman"/>
          <w:i/>
        </w:rPr>
        <w:t>such</w:t>
      </w:r>
      <w:proofErr w:type="spellEnd"/>
      <w:r w:rsidR="00DF4634" w:rsidRPr="00DF4634">
        <w:rPr>
          <w:rFonts w:ascii="Times New Roman" w:hAnsi="Times New Roman" w:cs="Times New Roman"/>
          <w:i/>
        </w:rPr>
        <w:t xml:space="preserve"> an </w:t>
      </w:r>
      <w:proofErr w:type="spellStart"/>
      <w:r w:rsidR="00DF4634" w:rsidRPr="00DF4634">
        <w:rPr>
          <w:rFonts w:ascii="Times New Roman" w:hAnsi="Times New Roman" w:cs="Times New Roman"/>
          <w:i/>
        </w:rPr>
        <w:t>investor</w:t>
      </w:r>
      <w:proofErr w:type="spellEnd"/>
      <w:r w:rsidR="00DF4634">
        <w:rPr>
          <w:rFonts w:ascii="Times New Roman" w:hAnsi="Times New Roman" w:cs="Times New Roman"/>
          <w:i/>
        </w:rPr>
        <w:t xml:space="preserve"> </w:t>
      </w:r>
      <w:r w:rsidR="00D932F3">
        <w:rPr>
          <w:rFonts w:ascii="Times New Roman" w:hAnsi="Times New Roman" w:cs="Times New Roman"/>
        </w:rPr>
        <w:t>» (</w:t>
      </w:r>
      <w:r w:rsidR="00D932F3" w:rsidRPr="00D932F3">
        <w:rPr>
          <w:rFonts w:ascii="Times New Roman" w:hAnsi="Times New Roman" w:cs="Times New Roman"/>
        </w:rPr>
        <w:t>Bernasconi-</w:t>
      </w:r>
      <w:proofErr w:type="spellStart"/>
      <w:r w:rsidR="00D932F3" w:rsidRPr="00D932F3">
        <w:rPr>
          <w:rFonts w:ascii="Times New Roman" w:hAnsi="Times New Roman" w:cs="Times New Roman"/>
        </w:rPr>
        <w:t>Osterwalder</w:t>
      </w:r>
      <w:proofErr w:type="spellEnd"/>
      <w:r w:rsidR="00DF4634">
        <w:rPr>
          <w:rFonts w:ascii="Times New Roman" w:hAnsi="Times New Roman" w:cs="Times New Roman"/>
        </w:rPr>
        <w:t xml:space="preserve"> 2013 : 17). Pour ce faire, une plausible source d’inspiration pour la Commission </w:t>
      </w:r>
      <w:r w:rsidR="007B7A56">
        <w:rPr>
          <w:rFonts w:ascii="Times New Roman" w:hAnsi="Times New Roman" w:cs="Times New Roman"/>
        </w:rPr>
        <w:t>pourrait être</w:t>
      </w:r>
      <w:r w:rsidR="00DF4634">
        <w:rPr>
          <w:rFonts w:ascii="Times New Roman" w:hAnsi="Times New Roman" w:cs="Times New Roman"/>
        </w:rPr>
        <w:t xml:space="preserve"> la pratique de ses États Membres qui s’est notamment développée pour faire face aux problématiques qui sont apparues au se</w:t>
      </w:r>
      <w:r w:rsidR="00E650C3">
        <w:rPr>
          <w:rFonts w:ascii="Times New Roman" w:hAnsi="Times New Roman" w:cs="Times New Roman"/>
        </w:rPr>
        <w:t xml:space="preserve">in de la </w:t>
      </w:r>
      <w:r w:rsidR="00E650C3">
        <w:rPr>
          <w:rFonts w:ascii="Times New Roman" w:hAnsi="Times New Roman" w:cs="Times New Roman"/>
        </w:rPr>
        <w:lastRenderedPageBreak/>
        <w:t>jurisprudence (De Luca</w:t>
      </w:r>
      <w:r w:rsidR="00DF4634">
        <w:rPr>
          <w:rFonts w:ascii="Times New Roman" w:hAnsi="Times New Roman" w:cs="Times New Roman"/>
        </w:rPr>
        <w:t xml:space="preserve"> 2014 : 519). </w:t>
      </w:r>
      <w:r w:rsidR="004207DF">
        <w:rPr>
          <w:rFonts w:ascii="Times New Roman" w:hAnsi="Times New Roman" w:cs="Times New Roman"/>
        </w:rPr>
        <w:t>De Luca suggère par exemple de s’inspirer de l’article 11 (1) du modèle d’accord de l’Autriche qui précise clairement que la clause parapluie ne s’applique qu’aux contrats signés entre un investisseur et une entité étatique (2014 : 519).</w:t>
      </w:r>
    </w:p>
    <w:p w14:paraId="3A861362" w14:textId="24838576" w:rsidR="00690983" w:rsidRPr="0091332B" w:rsidRDefault="00DF4634" w:rsidP="00BA43F7">
      <w:pPr>
        <w:pStyle w:val="Titre2"/>
        <w:spacing w:before="120" w:after="120"/>
        <w:rPr>
          <w:rFonts w:ascii="Times New Roman" w:hAnsi="Times New Roman" w:cs="Times New Roman"/>
          <w:color w:val="auto"/>
          <w:u w:val="single"/>
        </w:rPr>
      </w:pPr>
      <w:bookmarkStart w:id="23" w:name="_Toc313471475"/>
      <w:r w:rsidRPr="0091332B">
        <w:rPr>
          <w:rFonts w:ascii="Times New Roman" w:hAnsi="Times New Roman" w:cs="Times New Roman"/>
          <w:color w:val="auto"/>
          <w:u w:val="single"/>
        </w:rPr>
        <w:t xml:space="preserve">4.3 </w:t>
      </w:r>
      <w:r w:rsidR="00EA2865" w:rsidRPr="0091332B">
        <w:rPr>
          <w:rFonts w:ascii="Times New Roman" w:hAnsi="Times New Roman" w:cs="Times New Roman"/>
          <w:color w:val="auto"/>
          <w:u w:val="single"/>
        </w:rPr>
        <w:t>Une exception générale limitée</w:t>
      </w:r>
      <w:bookmarkEnd w:id="23"/>
    </w:p>
    <w:p w14:paraId="33F47D81" w14:textId="674424FE" w:rsidR="00D8206B" w:rsidRDefault="0064603E" w:rsidP="00BA43F7">
      <w:pPr>
        <w:spacing w:before="120" w:after="120" w:line="360" w:lineRule="auto"/>
        <w:jc w:val="both"/>
        <w:rPr>
          <w:rFonts w:ascii="Times New Roman" w:hAnsi="Times New Roman" w:cs="Times New Roman"/>
        </w:rPr>
      </w:pPr>
      <w:r>
        <w:rPr>
          <w:rFonts w:ascii="Times New Roman" w:hAnsi="Times New Roman" w:cs="Times New Roman"/>
        </w:rPr>
        <w:t>Considérant les</w:t>
      </w:r>
      <w:r w:rsidR="001040AE">
        <w:rPr>
          <w:rFonts w:ascii="Times New Roman" w:hAnsi="Times New Roman" w:cs="Times New Roman"/>
        </w:rPr>
        <w:t xml:space="preserve"> multiples garanties et protections qu’offrent les accords sur l’investissement aux investisseurs et</w:t>
      </w:r>
      <w:r>
        <w:rPr>
          <w:rFonts w:ascii="Times New Roman" w:hAnsi="Times New Roman" w:cs="Times New Roman"/>
        </w:rPr>
        <w:t xml:space="preserve"> aux</w:t>
      </w:r>
      <w:r w:rsidR="001040AE">
        <w:rPr>
          <w:rFonts w:ascii="Times New Roman" w:hAnsi="Times New Roman" w:cs="Times New Roman"/>
        </w:rPr>
        <w:t xml:space="preserve"> investissements étrangers, une inquiétude régulièrement formulée est qu’ils risquent du même coup d’empêcher les États d’adopter des mesures dans l’intérêt public</w:t>
      </w:r>
      <w:r w:rsidR="00E650C3">
        <w:rPr>
          <w:rFonts w:ascii="Times New Roman" w:hAnsi="Times New Roman" w:cs="Times New Roman"/>
        </w:rPr>
        <w:t xml:space="preserve"> (</w:t>
      </w:r>
      <w:proofErr w:type="spellStart"/>
      <w:r w:rsidR="00E650C3">
        <w:rPr>
          <w:rFonts w:ascii="Times New Roman" w:hAnsi="Times New Roman" w:cs="Times New Roman"/>
        </w:rPr>
        <w:t>Newcombe</w:t>
      </w:r>
      <w:proofErr w:type="spellEnd"/>
      <w:r w:rsidR="005B120B">
        <w:rPr>
          <w:rFonts w:ascii="Times New Roman" w:hAnsi="Times New Roman" w:cs="Times New Roman"/>
        </w:rPr>
        <w:t xml:space="preserve"> 2013 : 267)</w:t>
      </w:r>
      <w:r w:rsidR="001040AE">
        <w:rPr>
          <w:rFonts w:ascii="Times New Roman" w:hAnsi="Times New Roman" w:cs="Times New Roman"/>
        </w:rPr>
        <w:t>. Le cas de l’Alle</w:t>
      </w:r>
      <w:r>
        <w:rPr>
          <w:rFonts w:ascii="Times New Roman" w:hAnsi="Times New Roman" w:cs="Times New Roman"/>
        </w:rPr>
        <w:t>magne présenté en introduction de</w:t>
      </w:r>
      <w:r w:rsidR="005B120B">
        <w:rPr>
          <w:rFonts w:ascii="Times New Roman" w:hAnsi="Times New Roman" w:cs="Times New Roman"/>
        </w:rPr>
        <w:t xml:space="preserve"> cette section en est d’ailleurs une excellente illustration. Pour faire face à ces craintes, plusieurs des exceptions spécifiques ou limites aux différentes garanties ont progressivement été incorporé</w:t>
      </w:r>
      <w:r w:rsidR="00F96BA6">
        <w:rPr>
          <w:rFonts w:ascii="Times New Roman" w:hAnsi="Times New Roman" w:cs="Times New Roman"/>
        </w:rPr>
        <w:t>e</w:t>
      </w:r>
      <w:r w:rsidR="005B120B">
        <w:rPr>
          <w:rFonts w:ascii="Times New Roman" w:hAnsi="Times New Roman" w:cs="Times New Roman"/>
        </w:rPr>
        <w:t xml:space="preserve">s dans les modèles de plusieurs pays comme celui </w:t>
      </w:r>
      <w:r w:rsidR="00F96BA6">
        <w:rPr>
          <w:rFonts w:ascii="Times New Roman" w:hAnsi="Times New Roman" w:cs="Times New Roman"/>
        </w:rPr>
        <w:t>développé par la</w:t>
      </w:r>
      <w:r w:rsidR="005B120B">
        <w:rPr>
          <w:rFonts w:ascii="Times New Roman" w:hAnsi="Times New Roman" w:cs="Times New Roman"/>
        </w:rPr>
        <w:t xml:space="preserve"> Commission européenne. </w:t>
      </w:r>
      <w:r w:rsidR="00D8206B">
        <w:rPr>
          <w:rFonts w:ascii="Times New Roman" w:hAnsi="Times New Roman" w:cs="Times New Roman"/>
        </w:rPr>
        <w:t>En</w:t>
      </w:r>
      <w:r w:rsidR="005B120B">
        <w:rPr>
          <w:rFonts w:ascii="Times New Roman" w:hAnsi="Times New Roman" w:cs="Times New Roman"/>
        </w:rPr>
        <w:t xml:space="preserve"> supplément, des exceptions </w:t>
      </w:r>
      <w:r w:rsidR="00B82FCF">
        <w:rPr>
          <w:rFonts w:ascii="Times New Roman" w:hAnsi="Times New Roman" w:cs="Times New Roman"/>
        </w:rPr>
        <w:t xml:space="preserve">générales </w:t>
      </w:r>
      <w:r w:rsidR="00D8206B">
        <w:rPr>
          <w:rFonts w:ascii="Times New Roman" w:hAnsi="Times New Roman" w:cs="Times New Roman"/>
        </w:rPr>
        <w:t xml:space="preserve">sont </w:t>
      </w:r>
      <w:r w:rsidR="00B82FCF">
        <w:rPr>
          <w:rFonts w:ascii="Times New Roman" w:hAnsi="Times New Roman" w:cs="Times New Roman"/>
        </w:rPr>
        <w:t xml:space="preserve">parfois </w:t>
      </w:r>
      <w:r w:rsidR="00D8206B">
        <w:rPr>
          <w:rFonts w:ascii="Times New Roman" w:hAnsi="Times New Roman" w:cs="Times New Roman"/>
        </w:rPr>
        <w:t>incluses au sein de certains traités bilatéraux d’investissement</w:t>
      </w:r>
      <w:r w:rsidR="00E650C3">
        <w:rPr>
          <w:rFonts w:ascii="Times New Roman" w:hAnsi="Times New Roman" w:cs="Times New Roman"/>
        </w:rPr>
        <w:t xml:space="preserve"> (</w:t>
      </w:r>
      <w:proofErr w:type="spellStart"/>
      <w:r w:rsidR="00E650C3">
        <w:rPr>
          <w:rFonts w:ascii="Times New Roman" w:hAnsi="Times New Roman" w:cs="Times New Roman"/>
        </w:rPr>
        <w:t>Newcombe</w:t>
      </w:r>
      <w:proofErr w:type="spellEnd"/>
      <w:r w:rsidR="00E650C3">
        <w:rPr>
          <w:rFonts w:ascii="Times New Roman" w:hAnsi="Times New Roman" w:cs="Times New Roman"/>
        </w:rPr>
        <w:t xml:space="preserve"> et </w:t>
      </w:r>
      <w:proofErr w:type="spellStart"/>
      <w:r w:rsidR="00E650C3">
        <w:rPr>
          <w:rFonts w:ascii="Times New Roman" w:hAnsi="Times New Roman" w:cs="Times New Roman"/>
        </w:rPr>
        <w:t>Paradell</w:t>
      </w:r>
      <w:proofErr w:type="spellEnd"/>
      <w:r w:rsidR="001D4F9F">
        <w:rPr>
          <w:rFonts w:ascii="Times New Roman" w:hAnsi="Times New Roman" w:cs="Times New Roman"/>
        </w:rPr>
        <w:t xml:space="preserve"> 2009 : 481). </w:t>
      </w:r>
      <w:r w:rsidR="00D8206B">
        <w:rPr>
          <w:rFonts w:ascii="Times New Roman" w:hAnsi="Times New Roman" w:cs="Times New Roman"/>
        </w:rPr>
        <w:t>Ces derniers demeurent cepen</w:t>
      </w:r>
      <w:r w:rsidR="00E650C3">
        <w:rPr>
          <w:rFonts w:ascii="Times New Roman" w:hAnsi="Times New Roman" w:cs="Times New Roman"/>
        </w:rPr>
        <w:t>dant encore marginaux (</w:t>
      </w:r>
      <w:proofErr w:type="spellStart"/>
      <w:r w:rsidR="00E650C3">
        <w:rPr>
          <w:rFonts w:ascii="Times New Roman" w:hAnsi="Times New Roman" w:cs="Times New Roman"/>
        </w:rPr>
        <w:t>Newcombe</w:t>
      </w:r>
      <w:proofErr w:type="spellEnd"/>
      <w:r w:rsidR="00D8206B">
        <w:rPr>
          <w:rFonts w:ascii="Times New Roman" w:hAnsi="Times New Roman" w:cs="Times New Roman"/>
        </w:rPr>
        <w:t xml:space="preserve"> 2013 : 273). </w:t>
      </w:r>
      <w:r w:rsidR="00F96BA6">
        <w:rPr>
          <w:rFonts w:ascii="Times New Roman" w:hAnsi="Times New Roman" w:cs="Times New Roman"/>
        </w:rPr>
        <w:t xml:space="preserve">Étant donné </w:t>
      </w:r>
      <w:proofErr w:type="gramStart"/>
      <w:r w:rsidR="00F96BA6">
        <w:rPr>
          <w:rFonts w:ascii="Times New Roman" w:hAnsi="Times New Roman" w:cs="Times New Roman"/>
        </w:rPr>
        <w:t>la</w:t>
      </w:r>
      <w:proofErr w:type="gramEnd"/>
      <w:r w:rsidR="00BA511B">
        <w:rPr>
          <w:rFonts w:ascii="Times New Roman" w:hAnsi="Times New Roman" w:cs="Times New Roman"/>
        </w:rPr>
        <w:t xml:space="preserve"> possible influence du modèle d’accord européen, le choix d’inclure ou non </w:t>
      </w:r>
      <w:r w:rsidR="00C70B6E">
        <w:rPr>
          <w:rFonts w:ascii="Times New Roman" w:hAnsi="Times New Roman" w:cs="Times New Roman"/>
        </w:rPr>
        <w:t xml:space="preserve">des exceptions générales </w:t>
      </w:r>
      <w:r w:rsidR="00F96BA6">
        <w:rPr>
          <w:rFonts w:ascii="Times New Roman" w:hAnsi="Times New Roman" w:cs="Times New Roman"/>
        </w:rPr>
        <w:t>retient</w:t>
      </w:r>
      <w:r w:rsidR="00BA511B">
        <w:rPr>
          <w:rFonts w:ascii="Times New Roman" w:hAnsi="Times New Roman" w:cs="Times New Roman"/>
        </w:rPr>
        <w:t xml:space="preserve"> l’attention. </w:t>
      </w:r>
    </w:p>
    <w:p w14:paraId="369BD002" w14:textId="309327AA" w:rsidR="000A5ECF" w:rsidRDefault="00923124" w:rsidP="00BA43F7">
      <w:pPr>
        <w:spacing w:before="120" w:after="120" w:line="360" w:lineRule="auto"/>
        <w:jc w:val="both"/>
        <w:rPr>
          <w:rFonts w:ascii="Times New Roman" w:hAnsi="Times New Roman" w:cs="Times New Roman"/>
        </w:rPr>
      </w:pPr>
      <w:r>
        <w:rPr>
          <w:rFonts w:ascii="Times New Roman" w:hAnsi="Times New Roman" w:cs="Times New Roman"/>
        </w:rPr>
        <w:t>Dans le cadre de l’</w:t>
      </w:r>
      <w:r w:rsidR="00BA511B">
        <w:rPr>
          <w:rFonts w:ascii="Times New Roman" w:hAnsi="Times New Roman" w:cs="Times New Roman"/>
        </w:rPr>
        <w:t xml:space="preserve">AECG, il </w:t>
      </w:r>
      <w:r w:rsidR="00F96BA6">
        <w:rPr>
          <w:rFonts w:ascii="Times New Roman" w:hAnsi="Times New Roman" w:cs="Times New Roman"/>
        </w:rPr>
        <w:t>importe d’abord de</w:t>
      </w:r>
      <w:r>
        <w:rPr>
          <w:rFonts w:ascii="Times New Roman" w:hAnsi="Times New Roman" w:cs="Times New Roman"/>
        </w:rPr>
        <w:t xml:space="preserve"> souligner que le Canada est l’un des seuls États de l’OCDE à</w:t>
      </w:r>
      <w:r w:rsidR="00F96BA6">
        <w:rPr>
          <w:rFonts w:ascii="Times New Roman" w:hAnsi="Times New Roman" w:cs="Times New Roman"/>
        </w:rPr>
        <w:t xml:space="preserve"> inclure presque systématiquement</w:t>
      </w:r>
      <w:r>
        <w:rPr>
          <w:rFonts w:ascii="Times New Roman" w:hAnsi="Times New Roman" w:cs="Times New Roman"/>
        </w:rPr>
        <w:t xml:space="preserve"> une exception générale au sein de ses accords</w:t>
      </w:r>
      <w:r w:rsidR="00E650C3">
        <w:rPr>
          <w:rFonts w:ascii="Times New Roman" w:hAnsi="Times New Roman" w:cs="Times New Roman"/>
        </w:rPr>
        <w:t xml:space="preserve"> sur l’investissement (</w:t>
      </w:r>
      <w:proofErr w:type="spellStart"/>
      <w:r w:rsidR="00E650C3">
        <w:rPr>
          <w:rFonts w:ascii="Times New Roman" w:hAnsi="Times New Roman" w:cs="Times New Roman"/>
        </w:rPr>
        <w:t>Newcombe</w:t>
      </w:r>
      <w:proofErr w:type="spellEnd"/>
      <w:r>
        <w:rPr>
          <w:rFonts w:ascii="Times New Roman" w:hAnsi="Times New Roman" w:cs="Times New Roman"/>
        </w:rPr>
        <w:t xml:space="preserve"> 2013 : 273).  Il n’est alors pas étonnant de voir qu’une exception générale y </w:t>
      </w:r>
      <w:r w:rsidR="00CD1A95">
        <w:rPr>
          <w:rFonts w:ascii="Times New Roman" w:hAnsi="Times New Roman" w:cs="Times New Roman"/>
        </w:rPr>
        <w:t>soit</w:t>
      </w:r>
      <w:r>
        <w:rPr>
          <w:rFonts w:ascii="Times New Roman" w:hAnsi="Times New Roman" w:cs="Times New Roman"/>
        </w:rPr>
        <w:t xml:space="preserve"> effectivement incluse. </w:t>
      </w:r>
      <w:r w:rsidR="00094466">
        <w:rPr>
          <w:rFonts w:ascii="Times New Roman" w:hAnsi="Times New Roman" w:cs="Times New Roman"/>
        </w:rPr>
        <w:t>La Commission européenne semble toutefois y avoir apporté sa touche puisqu’elle ne s’applique qu’</w:t>
      </w:r>
      <w:r w:rsidR="00BA511B">
        <w:rPr>
          <w:rFonts w:ascii="Times New Roman" w:hAnsi="Times New Roman" w:cs="Times New Roman"/>
        </w:rPr>
        <w:t xml:space="preserve">aux articles sur l’établissement et le traitement non-discriminatoire du chapitre sur l’investissement. </w:t>
      </w:r>
      <w:r w:rsidR="00094466">
        <w:rPr>
          <w:rFonts w:ascii="Times New Roman" w:hAnsi="Times New Roman" w:cs="Times New Roman"/>
        </w:rPr>
        <w:t xml:space="preserve">De même, dans l’ALEUES, seul le traitement national est visé par une exception du même type. Au contraire, la pratique canadienne depuis 2004, qui se reflète notamment dans l’ALECC, inclut une exception qui s’applique à l’ensemble de ses accords sur l’investissement. Il </w:t>
      </w:r>
      <w:proofErr w:type="spellStart"/>
      <w:r w:rsidR="00094466">
        <w:rPr>
          <w:rFonts w:ascii="Times New Roman" w:hAnsi="Times New Roman" w:cs="Times New Roman"/>
        </w:rPr>
        <w:t>apparaît</w:t>
      </w:r>
      <w:proofErr w:type="spellEnd"/>
      <w:r w:rsidR="00094466">
        <w:rPr>
          <w:rFonts w:ascii="Times New Roman" w:hAnsi="Times New Roman" w:cs="Times New Roman"/>
        </w:rPr>
        <w:t xml:space="preserve"> donc que</w:t>
      </w:r>
      <w:r w:rsidR="000A5ECF">
        <w:rPr>
          <w:rFonts w:ascii="Times New Roman" w:hAnsi="Times New Roman" w:cs="Times New Roman"/>
        </w:rPr>
        <w:t xml:space="preserve"> le modèle d’accord que dévelop</w:t>
      </w:r>
      <w:r w:rsidR="00094466">
        <w:rPr>
          <w:rFonts w:ascii="Times New Roman" w:hAnsi="Times New Roman" w:cs="Times New Roman"/>
        </w:rPr>
        <w:t xml:space="preserve">pe la Commission européenne ne comprendrait une exception du type général que pour </w:t>
      </w:r>
      <w:r w:rsidR="000A5ECF">
        <w:rPr>
          <w:rFonts w:ascii="Times New Roman" w:hAnsi="Times New Roman" w:cs="Times New Roman"/>
        </w:rPr>
        <w:t xml:space="preserve">les garanties s’appliquant principalement durant la période pré-établissement et touchant la non-discrimination. Ce choix est peut-être moins étrange qu’il n’y </w:t>
      </w:r>
      <w:proofErr w:type="spellStart"/>
      <w:r w:rsidR="000A5ECF">
        <w:rPr>
          <w:rFonts w:ascii="Times New Roman" w:hAnsi="Times New Roman" w:cs="Times New Roman"/>
        </w:rPr>
        <w:t>paraît</w:t>
      </w:r>
      <w:proofErr w:type="spellEnd"/>
      <w:r w:rsidR="003E6D25">
        <w:rPr>
          <w:rFonts w:ascii="Times New Roman" w:hAnsi="Times New Roman" w:cs="Times New Roman"/>
        </w:rPr>
        <w:t xml:space="preserve"> à prime abord</w:t>
      </w:r>
      <w:r w:rsidR="000A5ECF">
        <w:rPr>
          <w:rFonts w:ascii="Times New Roman" w:hAnsi="Times New Roman" w:cs="Times New Roman"/>
        </w:rPr>
        <w:t xml:space="preserve"> puisque </w:t>
      </w:r>
      <w:r w:rsidR="003E6D25">
        <w:rPr>
          <w:rFonts w:ascii="Times New Roman" w:hAnsi="Times New Roman" w:cs="Times New Roman"/>
        </w:rPr>
        <w:t xml:space="preserve">certains auteurs soutiennent que les exceptions générales offrent une protection plus limitée que l’interprétation parfois large </w:t>
      </w:r>
      <w:r w:rsidR="00A050CE">
        <w:rPr>
          <w:rFonts w:ascii="Times New Roman" w:hAnsi="Times New Roman" w:cs="Times New Roman"/>
        </w:rPr>
        <w:t>que les tribunaux peuvent avoir du concept de</w:t>
      </w:r>
      <w:r w:rsidR="003E6D25">
        <w:rPr>
          <w:rFonts w:ascii="Times New Roman" w:hAnsi="Times New Roman" w:cs="Times New Roman"/>
        </w:rPr>
        <w:t xml:space="preserve"> mesures d’intérêt public </w:t>
      </w:r>
      <w:r w:rsidR="00A050CE">
        <w:rPr>
          <w:rFonts w:ascii="Times New Roman" w:hAnsi="Times New Roman" w:cs="Times New Roman"/>
        </w:rPr>
        <w:t xml:space="preserve">qui n’engagent pas la responsabilité des États </w:t>
      </w:r>
      <w:r w:rsidR="003E6D25">
        <w:rPr>
          <w:rFonts w:ascii="Times New Roman" w:hAnsi="Times New Roman" w:cs="Times New Roman"/>
        </w:rPr>
        <w:t>(</w:t>
      </w:r>
      <w:proofErr w:type="spellStart"/>
      <w:r w:rsidR="003E6D25">
        <w:rPr>
          <w:rFonts w:ascii="Times New Roman" w:hAnsi="Times New Roman" w:cs="Times New Roman"/>
        </w:rPr>
        <w:t>DiMascio</w:t>
      </w:r>
      <w:proofErr w:type="spellEnd"/>
      <w:r w:rsidR="003E6D25">
        <w:rPr>
          <w:rFonts w:ascii="Times New Roman" w:hAnsi="Times New Roman" w:cs="Times New Roman"/>
        </w:rPr>
        <w:t xml:space="preserve"> </w:t>
      </w:r>
      <w:r w:rsidR="00E650C3">
        <w:rPr>
          <w:rFonts w:ascii="Times New Roman" w:hAnsi="Times New Roman" w:cs="Times New Roman"/>
        </w:rPr>
        <w:t xml:space="preserve">et </w:t>
      </w:r>
      <w:proofErr w:type="spellStart"/>
      <w:r w:rsidR="00E650C3">
        <w:rPr>
          <w:rFonts w:ascii="Times New Roman" w:hAnsi="Times New Roman" w:cs="Times New Roman"/>
        </w:rPr>
        <w:t>Pauwelyn</w:t>
      </w:r>
      <w:proofErr w:type="spellEnd"/>
      <w:r w:rsidR="00E650C3">
        <w:rPr>
          <w:rFonts w:ascii="Times New Roman" w:hAnsi="Times New Roman" w:cs="Times New Roman"/>
        </w:rPr>
        <w:t xml:space="preserve"> 2008 : 77; </w:t>
      </w:r>
      <w:proofErr w:type="spellStart"/>
      <w:r w:rsidR="00E650C3">
        <w:rPr>
          <w:rFonts w:ascii="Times New Roman" w:hAnsi="Times New Roman" w:cs="Times New Roman"/>
        </w:rPr>
        <w:t>Newcombe</w:t>
      </w:r>
      <w:proofErr w:type="spellEnd"/>
      <w:r w:rsidR="003E6D25">
        <w:rPr>
          <w:rFonts w:ascii="Times New Roman" w:hAnsi="Times New Roman" w:cs="Times New Roman"/>
        </w:rPr>
        <w:t xml:space="preserve"> 2013 : 280-282).</w:t>
      </w:r>
      <w:r w:rsidR="009B1B24">
        <w:rPr>
          <w:rFonts w:ascii="Times New Roman" w:hAnsi="Times New Roman" w:cs="Times New Roman"/>
        </w:rPr>
        <w:t xml:space="preserve"> </w:t>
      </w:r>
      <w:r w:rsidR="00FE58BD">
        <w:rPr>
          <w:rFonts w:ascii="Times New Roman" w:hAnsi="Times New Roman" w:cs="Times New Roman"/>
        </w:rPr>
        <w:t xml:space="preserve">Le modèle d’accord développé par l’IISD pour promouvoir </w:t>
      </w:r>
      <w:r w:rsidR="00FE58BD">
        <w:rPr>
          <w:rFonts w:ascii="Times New Roman" w:hAnsi="Times New Roman" w:cs="Times New Roman"/>
        </w:rPr>
        <w:lastRenderedPageBreak/>
        <w:t>l’inclusion du développement durable dans le droit international des investissements ne possède d’ailleurs pas d’exceptions gé</w:t>
      </w:r>
      <w:r w:rsidR="00E650C3">
        <w:rPr>
          <w:rFonts w:ascii="Times New Roman" w:hAnsi="Times New Roman" w:cs="Times New Roman"/>
        </w:rPr>
        <w:t>nérales (</w:t>
      </w:r>
      <w:proofErr w:type="spellStart"/>
      <w:r w:rsidR="00E650C3">
        <w:rPr>
          <w:rFonts w:ascii="Times New Roman" w:hAnsi="Times New Roman" w:cs="Times New Roman"/>
        </w:rPr>
        <w:t>Newcombe</w:t>
      </w:r>
      <w:proofErr w:type="spellEnd"/>
      <w:r w:rsidR="007B7A56">
        <w:rPr>
          <w:rFonts w:ascii="Times New Roman" w:hAnsi="Times New Roman" w:cs="Times New Roman"/>
        </w:rPr>
        <w:t xml:space="preserve"> 2013 : 279).</w:t>
      </w:r>
    </w:p>
    <w:p w14:paraId="6724F3AA" w14:textId="0A30C1D7" w:rsidR="009B1B24" w:rsidRDefault="00CF1F38" w:rsidP="00BA43F7">
      <w:pPr>
        <w:spacing w:before="120" w:after="120" w:line="360" w:lineRule="auto"/>
        <w:jc w:val="both"/>
        <w:rPr>
          <w:rFonts w:ascii="Times New Roman" w:hAnsi="Times New Roman" w:cs="Times New Roman"/>
        </w:rPr>
      </w:pPr>
      <w:r>
        <w:rPr>
          <w:rFonts w:ascii="Times New Roman" w:hAnsi="Times New Roman" w:cs="Times New Roman"/>
        </w:rPr>
        <w:t xml:space="preserve">Il est aussi important de relever que dans l’ALEUES comme dans l’AECG, l’exception générale choisie par la Commission européenne s’inspire du GATT. Ce choix peut sembler étonnant puisqu’il est plus naturel de relier les services et les investissements, mais il </w:t>
      </w:r>
      <w:r w:rsidR="002A0503">
        <w:rPr>
          <w:rFonts w:ascii="Times New Roman" w:hAnsi="Times New Roman" w:cs="Times New Roman"/>
        </w:rPr>
        <w:t xml:space="preserve">peut s’expliquer </w:t>
      </w:r>
      <w:r>
        <w:rPr>
          <w:rFonts w:ascii="Times New Roman" w:hAnsi="Times New Roman" w:cs="Times New Roman"/>
        </w:rPr>
        <w:t xml:space="preserve">par </w:t>
      </w:r>
      <w:r w:rsidR="002A0503">
        <w:rPr>
          <w:rFonts w:ascii="Times New Roman" w:hAnsi="Times New Roman" w:cs="Times New Roman"/>
        </w:rPr>
        <w:t>le fait que l’article XIV de l’AGCS ne comprend pas un alinéa sur la conservation des ressources naturelles à l’instar de l’article XX du GATT. La Commission européenne s’assure donc</w:t>
      </w:r>
      <w:r w:rsidR="00F96BA6">
        <w:rPr>
          <w:rFonts w:ascii="Times New Roman" w:hAnsi="Times New Roman" w:cs="Times New Roman"/>
        </w:rPr>
        <w:t xml:space="preserve"> de bénéficier d’</w:t>
      </w:r>
      <w:r w:rsidR="002A0503">
        <w:rPr>
          <w:rFonts w:ascii="Times New Roman" w:hAnsi="Times New Roman" w:cs="Times New Roman"/>
        </w:rPr>
        <w:t xml:space="preserve">une exception plus large en faisant référence ou en copiant l’article XX du GATT. C’est d’ailleurs ce que </w:t>
      </w:r>
      <w:r w:rsidR="003967AB">
        <w:rPr>
          <w:rFonts w:ascii="Times New Roman" w:hAnsi="Times New Roman" w:cs="Times New Roman"/>
        </w:rPr>
        <w:t xml:space="preserve">faisaient déjà </w:t>
      </w:r>
      <w:r w:rsidR="002A0503">
        <w:rPr>
          <w:rFonts w:ascii="Times New Roman" w:hAnsi="Times New Roman" w:cs="Times New Roman"/>
        </w:rPr>
        <w:t>le Canada</w:t>
      </w:r>
      <w:r w:rsidR="003967AB">
        <w:rPr>
          <w:rFonts w:ascii="Times New Roman" w:hAnsi="Times New Roman" w:cs="Times New Roman"/>
        </w:rPr>
        <w:t xml:space="preserve"> et </w:t>
      </w:r>
      <w:r w:rsidR="004207DF">
        <w:rPr>
          <w:rFonts w:ascii="Times New Roman" w:hAnsi="Times New Roman" w:cs="Times New Roman"/>
        </w:rPr>
        <w:t>plusieurs des</w:t>
      </w:r>
      <w:r w:rsidR="003967AB">
        <w:rPr>
          <w:rFonts w:ascii="Times New Roman" w:hAnsi="Times New Roman" w:cs="Times New Roman"/>
        </w:rPr>
        <w:t xml:space="preserve"> autres</w:t>
      </w:r>
      <w:r w:rsidR="004207DF">
        <w:rPr>
          <w:rFonts w:ascii="Times New Roman" w:hAnsi="Times New Roman" w:cs="Times New Roman"/>
        </w:rPr>
        <w:t xml:space="preserve"> rares</w:t>
      </w:r>
      <w:r w:rsidR="003967AB">
        <w:rPr>
          <w:rFonts w:ascii="Times New Roman" w:hAnsi="Times New Roman" w:cs="Times New Roman"/>
        </w:rPr>
        <w:t xml:space="preserve"> États qui utilisent</w:t>
      </w:r>
      <w:r w:rsidR="002A0503">
        <w:rPr>
          <w:rFonts w:ascii="Times New Roman" w:hAnsi="Times New Roman" w:cs="Times New Roman"/>
        </w:rPr>
        <w:t xml:space="preserve"> des exceptions générales </w:t>
      </w:r>
      <w:r w:rsidR="003967AB">
        <w:rPr>
          <w:rFonts w:ascii="Times New Roman" w:hAnsi="Times New Roman" w:cs="Times New Roman"/>
        </w:rPr>
        <w:t xml:space="preserve">dans leurs accords sur l’investissement </w:t>
      </w:r>
      <w:r w:rsidR="008A53AA">
        <w:rPr>
          <w:rFonts w:ascii="Times New Roman" w:hAnsi="Times New Roman" w:cs="Times New Roman"/>
        </w:rPr>
        <w:t>(</w:t>
      </w:r>
      <w:proofErr w:type="spellStart"/>
      <w:r w:rsidR="008A53AA">
        <w:rPr>
          <w:rFonts w:ascii="Times New Roman" w:hAnsi="Times New Roman" w:cs="Times New Roman"/>
        </w:rPr>
        <w:t>Newcombe</w:t>
      </w:r>
      <w:proofErr w:type="spellEnd"/>
      <w:r w:rsidR="002A0503">
        <w:rPr>
          <w:rFonts w:ascii="Times New Roman" w:hAnsi="Times New Roman" w:cs="Times New Roman"/>
        </w:rPr>
        <w:t xml:space="preserve"> 2013 : 275</w:t>
      </w:r>
      <w:r w:rsidR="009B1B24">
        <w:rPr>
          <w:rFonts w:ascii="Times New Roman" w:hAnsi="Times New Roman" w:cs="Times New Roman"/>
        </w:rPr>
        <w:t>-276).</w:t>
      </w:r>
    </w:p>
    <w:p w14:paraId="7647D5C8" w14:textId="7B30786B" w:rsidR="00690983" w:rsidRPr="0091332B" w:rsidRDefault="00EA2865" w:rsidP="0091332B">
      <w:pPr>
        <w:pStyle w:val="Titre2"/>
        <w:spacing w:before="120" w:after="120"/>
        <w:jc w:val="both"/>
        <w:rPr>
          <w:rFonts w:ascii="Times New Roman" w:hAnsi="Times New Roman" w:cs="Times New Roman"/>
          <w:color w:val="auto"/>
          <w:u w:val="single"/>
        </w:rPr>
      </w:pPr>
      <w:bookmarkStart w:id="24" w:name="_Toc313471476"/>
      <w:r w:rsidRPr="0091332B">
        <w:rPr>
          <w:rFonts w:ascii="Times New Roman" w:hAnsi="Times New Roman" w:cs="Times New Roman"/>
          <w:color w:val="auto"/>
          <w:u w:val="single"/>
        </w:rPr>
        <w:t>4.4 L’a</w:t>
      </w:r>
      <w:r w:rsidR="00FE58BD" w:rsidRPr="0091332B">
        <w:rPr>
          <w:rFonts w:ascii="Times New Roman" w:hAnsi="Times New Roman" w:cs="Times New Roman"/>
          <w:color w:val="auto"/>
          <w:u w:val="single"/>
        </w:rPr>
        <w:t>rbitrage investisseur – État</w:t>
      </w:r>
      <w:r w:rsidRPr="0091332B">
        <w:rPr>
          <w:rFonts w:ascii="Times New Roman" w:hAnsi="Times New Roman" w:cs="Times New Roman"/>
          <w:color w:val="auto"/>
          <w:u w:val="single"/>
        </w:rPr>
        <w:t> : un nouveau langage, mais peu de changements</w:t>
      </w:r>
      <w:r w:rsidR="00FC4C1A" w:rsidRPr="0091332B">
        <w:rPr>
          <w:rFonts w:ascii="Times New Roman" w:hAnsi="Times New Roman" w:cs="Times New Roman"/>
          <w:color w:val="auto"/>
          <w:u w:val="single"/>
        </w:rPr>
        <w:t xml:space="preserve"> concrets</w:t>
      </w:r>
      <w:bookmarkEnd w:id="24"/>
    </w:p>
    <w:p w14:paraId="2DD912E0" w14:textId="5B3205EF" w:rsidR="00734B27" w:rsidRDefault="007B7A56" w:rsidP="00BA43F7">
      <w:pPr>
        <w:spacing w:before="120" w:after="120" w:line="360" w:lineRule="auto"/>
        <w:jc w:val="both"/>
        <w:rPr>
          <w:rFonts w:ascii="Times New Roman" w:hAnsi="Times New Roman" w:cs="Times New Roman"/>
        </w:rPr>
      </w:pPr>
      <w:r>
        <w:rPr>
          <w:rFonts w:ascii="Times New Roman" w:hAnsi="Times New Roman" w:cs="Times New Roman"/>
        </w:rPr>
        <w:t>Pour reprendre la célèbre citation du Président de la Cour suprême américaine au début du 19</w:t>
      </w:r>
      <w:r w:rsidRPr="003754A9">
        <w:rPr>
          <w:rFonts w:ascii="Times New Roman" w:hAnsi="Times New Roman" w:cs="Times New Roman"/>
          <w:vertAlign w:val="superscript"/>
        </w:rPr>
        <w:t>e</w:t>
      </w:r>
      <w:r>
        <w:rPr>
          <w:rFonts w:ascii="Times New Roman" w:hAnsi="Times New Roman" w:cs="Times New Roman"/>
        </w:rPr>
        <w:t xml:space="preserve"> siècle, les recours juridiques sont bien évidemment le pendant essentiel à tout droit conféré : «</w:t>
      </w:r>
      <w:r w:rsidR="00DB0C6E">
        <w:rPr>
          <w:rFonts w:ascii="Times New Roman" w:hAnsi="Times New Roman" w:cs="Times New Roman"/>
        </w:rPr>
        <w:t> </w:t>
      </w:r>
      <w:proofErr w:type="spellStart"/>
      <w:r w:rsidRPr="003754A9">
        <w:rPr>
          <w:rFonts w:ascii="Times New Roman" w:hAnsi="Times New Roman" w:cs="Times New Roman"/>
          <w:i/>
        </w:rPr>
        <w:t>government</w:t>
      </w:r>
      <w:proofErr w:type="spellEnd"/>
      <w:r w:rsidRPr="003754A9">
        <w:rPr>
          <w:rFonts w:ascii="Times New Roman" w:hAnsi="Times New Roman" w:cs="Times New Roman"/>
          <w:i/>
        </w:rPr>
        <w:t xml:space="preserve"> of </w:t>
      </w:r>
      <w:proofErr w:type="spellStart"/>
      <w:r w:rsidRPr="003754A9">
        <w:rPr>
          <w:rFonts w:ascii="Times New Roman" w:hAnsi="Times New Roman" w:cs="Times New Roman"/>
          <w:i/>
        </w:rPr>
        <w:t>laws</w:t>
      </w:r>
      <w:proofErr w:type="spellEnd"/>
      <w:r w:rsidRPr="003754A9">
        <w:rPr>
          <w:rFonts w:ascii="Times New Roman" w:hAnsi="Times New Roman" w:cs="Times New Roman"/>
          <w:i/>
        </w:rPr>
        <w:t xml:space="preserve">, and not of men […] </w:t>
      </w:r>
      <w:proofErr w:type="spellStart"/>
      <w:r w:rsidRPr="003754A9">
        <w:rPr>
          <w:rFonts w:ascii="Times New Roman" w:hAnsi="Times New Roman" w:cs="Times New Roman"/>
          <w:i/>
        </w:rPr>
        <w:t>will</w:t>
      </w:r>
      <w:proofErr w:type="spellEnd"/>
      <w:r w:rsidRPr="003754A9">
        <w:rPr>
          <w:rFonts w:ascii="Times New Roman" w:hAnsi="Times New Roman" w:cs="Times New Roman"/>
          <w:i/>
        </w:rPr>
        <w:t xml:space="preserve"> </w:t>
      </w:r>
      <w:proofErr w:type="spellStart"/>
      <w:r w:rsidRPr="003754A9">
        <w:rPr>
          <w:rFonts w:ascii="Times New Roman" w:hAnsi="Times New Roman" w:cs="Times New Roman"/>
          <w:i/>
        </w:rPr>
        <w:t>certainly</w:t>
      </w:r>
      <w:proofErr w:type="spellEnd"/>
      <w:r w:rsidRPr="003754A9">
        <w:rPr>
          <w:rFonts w:ascii="Times New Roman" w:hAnsi="Times New Roman" w:cs="Times New Roman"/>
          <w:i/>
        </w:rPr>
        <w:t xml:space="preserve"> </w:t>
      </w:r>
      <w:proofErr w:type="spellStart"/>
      <w:r w:rsidRPr="003754A9">
        <w:rPr>
          <w:rFonts w:ascii="Times New Roman" w:hAnsi="Times New Roman" w:cs="Times New Roman"/>
          <w:i/>
        </w:rPr>
        <w:t>cease</w:t>
      </w:r>
      <w:proofErr w:type="spellEnd"/>
      <w:r w:rsidRPr="003754A9">
        <w:rPr>
          <w:rFonts w:ascii="Times New Roman" w:hAnsi="Times New Roman" w:cs="Times New Roman"/>
          <w:i/>
        </w:rPr>
        <w:t xml:space="preserve"> to </w:t>
      </w:r>
      <w:proofErr w:type="spellStart"/>
      <w:r w:rsidRPr="003754A9">
        <w:rPr>
          <w:rFonts w:ascii="Times New Roman" w:hAnsi="Times New Roman" w:cs="Times New Roman"/>
          <w:i/>
        </w:rPr>
        <w:t>deserve</w:t>
      </w:r>
      <w:proofErr w:type="spellEnd"/>
      <w:r w:rsidRPr="003754A9">
        <w:rPr>
          <w:rFonts w:ascii="Times New Roman" w:hAnsi="Times New Roman" w:cs="Times New Roman"/>
          <w:i/>
        </w:rPr>
        <w:t xml:space="preserve"> </w:t>
      </w:r>
      <w:proofErr w:type="spellStart"/>
      <w:r w:rsidRPr="003754A9">
        <w:rPr>
          <w:rFonts w:ascii="Times New Roman" w:hAnsi="Times New Roman" w:cs="Times New Roman"/>
          <w:i/>
        </w:rPr>
        <w:t>this</w:t>
      </w:r>
      <w:proofErr w:type="spellEnd"/>
      <w:r w:rsidRPr="003754A9">
        <w:rPr>
          <w:rFonts w:ascii="Times New Roman" w:hAnsi="Times New Roman" w:cs="Times New Roman"/>
          <w:i/>
        </w:rPr>
        <w:t xml:space="preserve"> </w:t>
      </w:r>
      <w:proofErr w:type="spellStart"/>
      <w:r w:rsidRPr="003754A9">
        <w:rPr>
          <w:rFonts w:ascii="Times New Roman" w:hAnsi="Times New Roman" w:cs="Times New Roman"/>
          <w:i/>
        </w:rPr>
        <w:t>high</w:t>
      </w:r>
      <w:proofErr w:type="spellEnd"/>
      <w:r w:rsidRPr="003754A9">
        <w:rPr>
          <w:rFonts w:ascii="Times New Roman" w:hAnsi="Times New Roman" w:cs="Times New Roman"/>
          <w:i/>
        </w:rPr>
        <w:t xml:space="preserve"> appellation if the </w:t>
      </w:r>
      <w:proofErr w:type="spellStart"/>
      <w:r w:rsidRPr="003754A9">
        <w:rPr>
          <w:rFonts w:ascii="Times New Roman" w:hAnsi="Times New Roman" w:cs="Times New Roman"/>
          <w:i/>
        </w:rPr>
        <w:t>laws</w:t>
      </w:r>
      <w:proofErr w:type="spellEnd"/>
      <w:r w:rsidRPr="003754A9">
        <w:rPr>
          <w:rFonts w:ascii="Times New Roman" w:hAnsi="Times New Roman" w:cs="Times New Roman"/>
          <w:i/>
        </w:rPr>
        <w:t xml:space="preserve"> </w:t>
      </w:r>
      <w:proofErr w:type="spellStart"/>
      <w:r w:rsidRPr="003754A9">
        <w:rPr>
          <w:rFonts w:ascii="Times New Roman" w:hAnsi="Times New Roman" w:cs="Times New Roman"/>
          <w:i/>
        </w:rPr>
        <w:t>furnish</w:t>
      </w:r>
      <w:proofErr w:type="spellEnd"/>
      <w:r w:rsidRPr="003754A9">
        <w:rPr>
          <w:rFonts w:ascii="Times New Roman" w:hAnsi="Times New Roman" w:cs="Times New Roman"/>
          <w:i/>
        </w:rPr>
        <w:t xml:space="preserve"> no </w:t>
      </w:r>
      <w:proofErr w:type="spellStart"/>
      <w:r w:rsidRPr="003754A9">
        <w:rPr>
          <w:rFonts w:ascii="Times New Roman" w:hAnsi="Times New Roman" w:cs="Times New Roman"/>
          <w:i/>
        </w:rPr>
        <w:t>remedy</w:t>
      </w:r>
      <w:proofErr w:type="spellEnd"/>
      <w:r w:rsidRPr="003754A9">
        <w:rPr>
          <w:rFonts w:ascii="Times New Roman" w:hAnsi="Times New Roman" w:cs="Times New Roman"/>
          <w:i/>
        </w:rPr>
        <w:t xml:space="preserve"> for the violation of a </w:t>
      </w:r>
      <w:proofErr w:type="spellStart"/>
      <w:r w:rsidRPr="003754A9">
        <w:rPr>
          <w:rFonts w:ascii="Times New Roman" w:hAnsi="Times New Roman" w:cs="Times New Roman"/>
          <w:i/>
        </w:rPr>
        <w:t>vested</w:t>
      </w:r>
      <w:proofErr w:type="spellEnd"/>
      <w:r w:rsidRPr="003754A9">
        <w:rPr>
          <w:rFonts w:ascii="Times New Roman" w:hAnsi="Times New Roman" w:cs="Times New Roman"/>
          <w:i/>
        </w:rPr>
        <w:t xml:space="preserve"> </w:t>
      </w:r>
      <w:proofErr w:type="spellStart"/>
      <w:r w:rsidRPr="003754A9">
        <w:rPr>
          <w:rFonts w:ascii="Times New Roman" w:hAnsi="Times New Roman" w:cs="Times New Roman"/>
          <w:i/>
        </w:rPr>
        <w:t>legal</w:t>
      </w:r>
      <w:proofErr w:type="spellEnd"/>
      <w:r w:rsidRPr="003754A9">
        <w:rPr>
          <w:rFonts w:ascii="Times New Roman" w:hAnsi="Times New Roman" w:cs="Times New Roman"/>
          <w:i/>
        </w:rPr>
        <w:t xml:space="preserve"> right. </w:t>
      </w:r>
      <w:r>
        <w:rPr>
          <w:rFonts w:ascii="Times New Roman" w:hAnsi="Times New Roman" w:cs="Times New Roman"/>
        </w:rPr>
        <w:t>» (</w:t>
      </w:r>
      <w:proofErr w:type="gramStart"/>
      <w:r>
        <w:rPr>
          <w:rFonts w:ascii="Times New Roman" w:hAnsi="Times New Roman" w:cs="Times New Roman"/>
        </w:rPr>
        <w:t>cité</w:t>
      </w:r>
      <w:proofErr w:type="gramEnd"/>
      <w:r>
        <w:rPr>
          <w:rFonts w:ascii="Times New Roman" w:hAnsi="Times New Roman" w:cs="Times New Roman"/>
        </w:rPr>
        <w:t xml:space="preserve"> dans </w:t>
      </w:r>
      <w:r w:rsidR="008A53AA">
        <w:rPr>
          <w:rFonts w:ascii="Times New Roman" w:hAnsi="Times New Roman" w:cs="Times New Roman"/>
        </w:rPr>
        <w:t xml:space="preserve">Sergio </w:t>
      </w:r>
      <w:proofErr w:type="spellStart"/>
      <w:r w:rsidR="008A53AA">
        <w:rPr>
          <w:rFonts w:ascii="Times New Roman" w:hAnsi="Times New Roman" w:cs="Times New Roman"/>
        </w:rPr>
        <w:t>Puig</w:t>
      </w:r>
      <w:proofErr w:type="spellEnd"/>
      <w:r>
        <w:rPr>
          <w:rFonts w:ascii="Times New Roman" w:hAnsi="Times New Roman" w:cs="Times New Roman"/>
        </w:rPr>
        <w:t xml:space="preserve"> 2014 : 235). </w:t>
      </w:r>
      <w:r w:rsidR="00604E0E">
        <w:rPr>
          <w:rFonts w:ascii="Times New Roman" w:hAnsi="Times New Roman" w:cs="Times New Roman"/>
        </w:rPr>
        <w:t xml:space="preserve">Au sein du droit international des investissements, les investisseurs ont une opportunité relativement rare, soit </w:t>
      </w:r>
      <w:r w:rsidR="00F96BA6">
        <w:rPr>
          <w:rFonts w:ascii="Times New Roman" w:hAnsi="Times New Roman" w:cs="Times New Roman"/>
        </w:rPr>
        <w:t xml:space="preserve">celle </w:t>
      </w:r>
      <w:r w:rsidR="00604E0E">
        <w:rPr>
          <w:rFonts w:ascii="Times New Roman" w:hAnsi="Times New Roman" w:cs="Times New Roman"/>
        </w:rPr>
        <w:t>de poursuivre un État souverain devant des tribunaux arbitraux</w:t>
      </w:r>
      <w:r w:rsidR="00940465">
        <w:rPr>
          <w:rFonts w:ascii="Times New Roman" w:hAnsi="Times New Roman" w:cs="Times New Roman"/>
        </w:rPr>
        <w:t xml:space="preserve"> internationaux afin de contester ses décisions et politiques publiques</w:t>
      </w:r>
      <w:r w:rsidR="00604E0E">
        <w:rPr>
          <w:rFonts w:ascii="Times New Roman" w:hAnsi="Times New Roman" w:cs="Times New Roman"/>
        </w:rPr>
        <w:t>. Cette pratique</w:t>
      </w:r>
      <w:r w:rsidR="00940465">
        <w:rPr>
          <w:rFonts w:ascii="Times New Roman" w:hAnsi="Times New Roman" w:cs="Times New Roman"/>
        </w:rPr>
        <w:t xml:space="preserve">, pour autant qu’elle semble normale aujourd’hui aux yeux des initiés du droit international des investissements, découle d’une vision contractuelle </w:t>
      </w:r>
      <w:r w:rsidR="00944A0C">
        <w:rPr>
          <w:rFonts w:ascii="Times New Roman" w:hAnsi="Times New Roman" w:cs="Times New Roman"/>
        </w:rPr>
        <w:t>du droit des investissements qui</w:t>
      </w:r>
      <w:r w:rsidR="006107D9">
        <w:rPr>
          <w:rFonts w:ascii="Times New Roman" w:hAnsi="Times New Roman" w:cs="Times New Roman"/>
        </w:rPr>
        <w:t xml:space="preserve"> ne refl</w:t>
      </w:r>
      <w:r w:rsidR="00F96BA6">
        <w:rPr>
          <w:rFonts w:ascii="Times New Roman" w:hAnsi="Times New Roman" w:cs="Times New Roman"/>
        </w:rPr>
        <w:t>ète plus l</w:t>
      </w:r>
      <w:r w:rsidR="006107D9">
        <w:rPr>
          <w:rFonts w:ascii="Times New Roman" w:hAnsi="Times New Roman" w:cs="Times New Roman"/>
        </w:rPr>
        <w:t>a réalité actuelle</w:t>
      </w:r>
      <w:r w:rsidR="00944A0C">
        <w:rPr>
          <w:rFonts w:ascii="Times New Roman" w:hAnsi="Times New Roman" w:cs="Times New Roman"/>
        </w:rPr>
        <w:t xml:space="preserve">. </w:t>
      </w:r>
      <w:proofErr w:type="spellStart"/>
      <w:r w:rsidR="00944A0C">
        <w:rPr>
          <w:rFonts w:ascii="Times New Roman" w:hAnsi="Times New Roman" w:cs="Times New Roman"/>
        </w:rPr>
        <w:t>Pauwelyn</w:t>
      </w:r>
      <w:proofErr w:type="spellEnd"/>
      <w:r w:rsidR="00944A0C">
        <w:rPr>
          <w:rFonts w:ascii="Times New Roman" w:hAnsi="Times New Roman" w:cs="Times New Roman"/>
        </w:rPr>
        <w:t xml:space="preserve"> souligne que lors de la création du CIRDI, il était attendu que les plaintes reçues viseraient des bris de contrats signés entre un investisseur étranger et l’État d’accueil (2014 : 26-27). </w:t>
      </w:r>
      <w:r w:rsidR="00F96BA6">
        <w:rPr>
          <w:rFonts w:ascii="Times New Roman" w:hAnsi="Times New Roman" w:cs="Times New Roman"/>
        </w:rPr>
        <w:t>Or il s’avère que</w:t>
      </w:r>
      <w:r w:rsidR="00944A0C">
        <w:rPr>
          <w:rFonts w:ascii="Times New Roman" w:hAnsi="Times New Roman" w:cs="Times New Roman"/>
        </w:rPr>
        <w:t xml:space="preserve"> 74 % des plaintes actuellement présentées devant le CIRDI sont uniquement basée</w:t>
      </w:r>
      <w:r w:rsidR="00F96BA6">
        <w:rPr>
          <w:rFonts w:ascii="Times New Roman" w:hAnsi="Times New Roman" w:cs="Times New Roman"/>
        </w:rPr>
        <w:t>s sur une violation d’un traité et</w:t>
      </w:r>
      <w:r w:rsidR="00944A0C">
        <w:rPr>
          <w:rFonts w:ascii="Times New Roman" w:hAnsi="Times New Roman" w:cs="Times New Roman"/>
        </w:rPr>
        <w:t xml:space="preserve"> </w:t>
      </w:r>
      <w:r w:rsidR="00F96BA6">
        <w:rPr>
          <w:rFonts w:ascii="Times New Roman" w:hAnsi="Times New Roman" w:cs="Times New Roman"/>
        </w:rPr>
        <w:t>non</w:t>
      </w:r>
      <w:r w:rsidR="008A53AA">
        <w:rPr>
          <w:rFonts w:ascii="Times New Roman" w:hAnsi="Times New Roman" w:cs="Times New Roman"/>
        </w:rPr>
        <w:t xml:space="preserve"> d’un contrat (</w:t>
      </w:r>
      <w:proofErr w:type="spellStart"/>
      <w:r w:rsidR="008A53AA">
        <w:rPr>
          <w:rFonts w:ascii="Times New Roman" w:hAnsi="Times New Roman" w:cs="Times New Roman"/>
        </w:rPr>
        <w:t>Pauwelyn</w:t>
      </w:r>
      <w:proofErr w:type="spellEnd"/>
      <w:r w:rsidR="008A53AA">
        <w:rPr>
          <w:rFonts w:ascii="Times New Roman" w:hAnsi="Times New Roman" w:cs="Times New Roman"/>
        </w:rPr>
        <w:t xml:space="preserve"> </w:t>
      </w:r>
      <w:r w:rsidR="00944A0C">
        <w:rPr>
          <w:rFonts w:ascii="Times New Roman" w:hAnsi="Times New Roman" w:cs="Times New Roman"/>
        </w:rPr>
        <w:t xml:space="preserve">2014 : 26-27). Selon lui, il peut même être mis en doute que les États </w:t>
      </w:r>
      <w:r w:rsidR="00040C45">
        <w:rPr>
          <w:rFonts w:ascii="Times New Roman" w:hAnsi="Times New Roman" w:cs="Times New Roman"/>
        </w:rPr>
        <w:t>désiraient réellement consentir à ce que les investisseurs puissent les poursuivre sur la seule base des traités bilaté</w:t>
      </w:r>
      <w:r w:rsidR="008A53AA">
        <w:rPr>
          <w:rFonts w:ascii="Times New Roman" w:hAnsi="Times New Roman" w:cs="Times New Roman"/>
        </w:rPr>
        <w:t>raux d’investissement (</w:t>
      </w:r>
      <w:proofErr w:type="spellStart"/>
      <w:r w:rsidR="008A53AA">
        <w:rPr>
          <w:rFonts w:ascii="Times New Roman" w:hAnsi="Times New Roman" w:cs="Times New Roman"/>
        </w:rPr>
        <w:t>Pauwelyn</w:t>
      </w:r>
      <w:proofErr w:type="spellEnd"/>
      <w:r w:rsidR="00040C45">
        <w:rPr>
          <w:rFonts w:ascii="Times New Roman" w:hAnsi="Times New Roman" w:cs="Times New Roman"/>
        </w:rPr>
        <w:t xml:space="preserve"> 2014 : 27). Depuis la décision </w:t>
      </w:r>
      <w:r w:rsidR="00040C45">
        <w:rPr>
          <w:rFonts w:ascii="Times New Roman" w:hAnsi="Times New Roman" w:cs="Times New Roman"/>
          <w:i/>
        </w:rPr>
        <w:t>AAPL c. Sri Lanka</w:t>
      </w:r>
      <w:r w:rsidR="00040C45">
        <w:rPr>
          <w:rFonts w:ascii="Times New Roman" w:hAnsi="Times New Roman" w:cs="Times New Roman"/>
        </w:rPr>
        <w:t xml:space="preserve"> en 1990, cette possibilité s’est toutefois </w:t>
      </w:r>
      <w:r w:rsidR="002B5E3C">
        <w:rPr>
          <w:rFonts w:ascii="Times New Roman" w:hAnsi="Times New Roman" w:cs="Times New Roman"/>
        </w:rPr>
        <w:t>cristallisée</w:t>
      </w:r>
      <w:r w:rsidR="00040C45">
        <w:rPr>
          <w:rFonts w:ascii="Times New Roman" w:hAnsi="Times New Roman" w:cs="Times New Roman"/>
        </w:rPr>
        <w:t xml:space="preserve"> et a </w:t>
      </w:r>
      <w:r w:rsidR="00F96BA6">
        <w:rPr>
          <w:rFonts w:ascii="Times New Roman" w:hAnsi="Times New Roman" w:cs="Times New Roman"/>
        </w:rPr>
        <w:t>considérablement influencé</w:t>
      </w:r>
      <w:r w:rsidR="002B5E3C">
        <w:rPr>
          <w:rFonts w:ascii="Times New Roman" w:hAnsi="Times New Roman" w:cs="Times New Roman"/>
        </w:rPr>
        <w:t xml:space="preserve"> l’évolution du droit international des investissements. </w:t>
      </w:r>
    </w:p>
    <w:p w14:paraId="37CB23D8" w14:textId="407B4DA6" w:rsidR="000C244E" w:rsidRDefault="00F96BA6" w:rsidP="00BA43F7">
      <w:pPr>
        <w:spacing w:before="120" w:after="120" w:line="360" w:lineRule="auto"/>
        <w:jc w:val="both"/>
        <w:rPr>
          <w:rFonts w:ascii="Times New Roman" w:hAnsi="Times New Roman" w:cs="Times New Roman"/>
        </w:rPr>
      </w:pPr>
      <w:r>
        <w:rPr>
          <w:rFonts w:ascii="Times New Roman" w:hAnsi="Times New Roman" w:cs="Times New Roman"/>
        </w:rPr>
        <w:lastRenderedPageBreak/>
        <w:t>L’</w:t>
      </w:r>
      <w:r w:rsidR="002B5E3C">
        <w:rPr>
          <w:rFonts w:ascii="Times New Roman" w:hAnsi="Times New Roman" w:cs="Times New Roman"/>
        </w:rPr>
        <w:t xml:space="preserve">association d’une forme d’arbitrage commercial </w:t>
      </w:r>
      <w:r>
        <w:rPr>
          <w:rFonts w:ascii="Times New Roman" w:hAnsi="Times New Roman" w:cs="Times New Roman"/>
        </w:rPr>
        <w:t>au</w:t>
      </w:r>
      <w:r w:rsidR="002B5E3C">
        <w:rPr>
          <w:rFonts w:ascii="Times New Roman" w:hAnsi="Times New Roman" w:cs="Times New Roman"/>
        </w:rPr>
        <w:t xml:space="preserve"> droit international des investissements ne plaît cependant pas à tous.</w:t>
      </w:r>
      <w:r w:rsidR="00734B27">
        <w:rPr>
          <w:rFonts w:ascii="Times New Roman" w:hAnsi="Times New Roman" w:cs="Times New Roman"/>
        </w:rPr>
        <w:t xml:space="preserve"> Depuis déjà plusieurs années, les règles procédurales de l’arbitrage investisseur – État </w:t>
      </w:r>
      <w:proofErr w:type="gramStart"/>
      <w:r w:rsidR="00734B27">
        <w:rPr>
          <w:rFonts w:ascii="Times New Roman" w:hAnsi="Times New Roman" w:cs="Times New Roman"/>
        </w:rPr>
        <w:t>évoluent</w:t>
      </w:r>
      <w:proofErr w:type="gramEnd"/>
      <w:r w:rsidR="00734B27">
        <w:rPr>
          <w:rFonts w:ascii="Times New Roman" w:hAnsi="Times New Roman" w:cs="Times New Roman"/>
        </w:rPr>
        <w:t xml:space="preserve"> pour </w:t>
      </w:r>
      <w:r w:rsidR="00CD503B">
        <w:rPr>
          <w:rFonts w:ascii="Times New Roman" w:hAnsi="Times New Roman" w:cs="Times New Roman"/>
        </w:rPr>
        <w:t xml:space="preserve">rendre ce mécanisme </w:t>
      </w:r>
      <w:r w:rsidR="00734B27">
        <w:rPr>
          <w:rFonts w:ascii="Times New Roman" w:hAnsi="Times New Roman" w:cs="Times New Roman"/>
        </w:rPr>
        <w:t>n</w:t>
      </w:r>
      <w:r w:rsidR="00CD503B">
        <w:rPr>
          <w:rFonts w:ascii="Times New Roman" w:hAnsi="Times New Roman" w:cs="Times New Roman"/>
        </w:rPr>
        <w:t>otamment plus transparent</w:t>
      </w:r>
      <w:r w:rsidR="00734B27">
        <w:rPr>
          <w:rFonts w:ascii="Times New Roman" w:hAnsi="Times New Roman" w:cs="Times New Roman"/>
        </w:rPr>
        <w:t xml:space="preserve">. </w:t>
      </w:r>
      <w:r w:rsidR="002B5E3C">
        <w:rPr>
          <w:rFonts w:ascii="Times New Roman" w:hAnsi="Times New Roman" w:cs="Times New Roman"/>
        </w:rPr>
        <w:t xml:space="preserve"> </w:t>
      </w:r>
      <w:r w:rsidR="00CD503B">
        <w:rPr>
          <w:rFonts w:ascii="Times New Roman" w:hAnsi="Times New Roman" w:cs="Times New Roman"/>
        </w:rPr>
        <w:t xml:space="preserve">Ces plus récents changements </w:t>
      </w:r>
      <w:r>
        <w:rPr>
          <w:rFonts w:ascii="Times New Roman" w:hAnsi="Times New Roman" w:cs="Times New Roman"/>
        </w:rPr>
        <w:t>n’ont pas pour autant rassuré la population européenne</w:t>
      </w:r>
      <w:r w:rsidR="00CD503B">
        <w:rPr>
          <w:rFonts w:ascii="Times New Roman" w:hAnsi="Times New Roman" w:cs="Times New Roman"/>
        </w:rPr>
        <w:t xml:space="preserve">. </w:t>
      </w:r>
      <w:r w:rsidR="002B5E3C">
        <w:rPr>
          <w:rFonts w:ascii="Times New Roman" w:hAnsi="Times New Roman" w:cs="Times New Roman"/>
        </w:rPr>
        <w:t xml:space="preserve">Le 13 janvier 2014, la Commission européenne publiait ainsi un rapport indiquant que 97% des répondants à sa consultation publique </w:t>
      </w:r>
      <w:r w:rsidR="00734B27">
        <w:rPr>
          <w:rFonts w:ascii="Times New Roman" w:hAnsi="Times New Roman" w:cs="Times New Roman"/>
        </w:rPr>
        <w:t>s’opposaient</w:t>
      </w:r>
      <w:r w:rsidR="002B5E3C">
        <w:rPr>
          <w:rFonts w:ascii="Times New Roman" w:hAnsi="Times New Roman" w:cs="Times New Roman"/>
        </w:rPr>
        <w:t xml:space="preserve"> à l’arbitrage investisseu</w:t>
      </w:r>
      <w:r w:rsidR="00FE4EE8">
        <w:rPr>
          <w:rFonts w:ascii="Times New Roman" w:hAnsi="Times New Roman" w:cs="Times New Roman"/>
        </w:rPr>
        <w:t>r – État (Commission européenne</w:t>
      </w:r>
      <w:r w:rsidR="002B5E3C">
        <w:rPr>
          <w:rFonts w:ascii="Times New Roman" w:hAnsi="Times New Roman" w:cs="Times New Roman"/>
        </w:rPr>
        <w:t xml:space="preserve"> 2014 : 2). Plus récemment, le 10 octobre 2015, entre 150 000 et 250 000 </w:t>
      </w:r>
      <w:r w:rsidR="00734B27">
        <w:rPr>
          <w:rFonts w:ascii="Times New Roman" w:hAnsi="Times New Roman" w:cs="Times New Roman"/>
        </w:rPr>
        <w:t xml:space="preserve">personnes ont marché dans les rues de Berlin pour protester contre le Partenariat transatlantique </w:t>
      </w:r>
      <w:r>
        <w:rPr>
          <w:rFonts w:ascii="Times New Roman" w:hAnsi="Times New Roman" w:cs="Times New Roman"/>
        </w:rPr>
        <w:t xml:space="preserve">; </w:t>
      </w:r>
      <w:r w:rsidR="00734B27">
        <w:rPr>
          <w:rFonts w:ascii="Times New Roman" w:hAnsi="Times New Roman" w:cs="Times New Roman"/>
        </w:rPr>
        <w:t>le chapitre sur l’investissement et son mécanisme de règlement des différends arbitrage investisseur – État</w:t>
      </w:r>
      <w:r w:rsidR="006107D9">
        <w:rPr>
          <w:rFonts w:ascii="Times New Roman" w:hAnsi="Times New Roman" w:cs="Times New Roman"/>
        </w:rPr>
        <w:t xml:space="preserve"> fait</w:t>
      </w:r>
      <w:r w:rsidR="00734B27">
        <w:rPr>
          <w:rFonts w:ascii="Times New Roman" w:hAnsi="Times New Roman" w:cs="Times New Roman"/>
        </w:rPr>
        <w:t xml:space="preserve"> </w:t>
      </w:r>
      <w:r>
        <w:rPr>
          <w:rFonts w:ascii="Times New Roman" w:hAnsi="Times New Roman" w:cs="Times New Roman"/>
        </w:rPr>
        <w:t xml:space="preserve">notamment </w:t>
      </w:r>
      <w:r w:rsidR="00734B27">
        <w:rPr>
          <w:rFonts w:ascii="Times New Roman" w:hAnsi="Times New Roman" w:cs="Times New Roman"/>
        </w:rPr>
        <w:t xml:space="preserve">partie des éléments les plus contestés. </w:t>
      </w:r>
    </w:p>
    <w:p w14:paraId="4E169CF7" w14:textId="5E89CB6B" w:rsidR="00893FCA" w:rsidRDefault="00734B27" w:rsidP="00BA43F7">
      <w:pPr>
        <w:spacing w:before="120" w:after="120" w:line="360" w:lineRule="auto"/>
        <w:jc w:val="both"/>
        <w:rPr>
          <w:rFonts w:ascii="Times New Roman" w:hAnsi="Times New Roman" w:cs="Times New Roman"/>
        </w:rPr>
      </w:pPr>
      <w:r>
        <w:rPr>
          <w:rFonts w:ascii="Times New Roman" w:hAnsi="Times New Roman" w:cs="Times New Roman"/>
        </w:rPr>
        <w:t xml:space="preserve">Face à ces récents mouvements, la Commission européenne se doit d’être particulièrement novatrice afin de </w:t>
      </w:r>
      <w:r w:rsidR="00FC6A32">
        <w:rPr>
          <w:rFonts w:ascii="Times New Roman" w:hAnsi="Times New Roman" w:cs="Times New Roman"/>
        </w:rPr>
        <w:t>rassurer les citoyens européens. C’est donc sans surprise qu’elle a affirmé en 2010 vouloir créer le mécanisme le plus sophistiqué qui soit (</w:t>
      </w:r>
      <w:r w:rsidR="00FC6A32">
        <w:rPr>
          <w:rFonts w:ascii="Times New Roman" w:hAnsi="Times New Roman" w:cs="Times New Roman"/>
          <w:i/>
        </w:rPr>
        <w:t>state-</w:t>
      </w:r>
      <w:r w:rsidR="00FC6A32" w:rsidRPr="00FC6A32">
        <w:rPr>
          <w:rFonts w:ascii="Times New Roman" w:hAnsi="Times New Roman" w:cs="Times New Roman"/>
          <w:i/>
        </w:rPr>
        <w:t xml:space="preserve">of-the-art </w:t>
      </w:r>
      <w:proofErr w:type="spellStart"/>
      <w:r w:rsidR="00FC6A32" w:rsidRPr="00FC6A32">
        <w:rPr>
          <w:rFonts w:ascii="Times New Roman" w:hAnsi="Times New Roman" w:cs="Times New Roman"/>
          <w:i/>
        </w:rPr>
        <w:t>mechanism</w:t>
      </w:r>
      <w:proofErr w:type="spellEnd"/>
      <w:r w:rsidR="00FC6A32">
        <w:rPr>
          <w:rFonts w:ascii="Times New Roman" w:hAnsi="Times New Roman" w:cs="Times New Roman"/>
        </w:rPr>
        <w:t xml:space="preserve">) et qu’elle </w:t>
      </w:r>
      <w:r w:rsidR="00F8562D">
        <w:rPr>
          <w:rFonts w:ascii="Times New Roman" w:hAnsi="Times New Roman" w:cs="Times New Roman"/>
        </w:rPr>
        <w:t xml:space="preserve">a </w:t>
      </w:r>
      <w:r w:rsidR="00FC6A32">
        <w:rPr>
          <w:rFonts w:ascii="Times New Roman" w:hAnsi="Times New Roman" w:cs="Times New Roman"/>
        </w:rPr>
        <w:t xml:space="preserve">plus </w:t>
      </w:r>
      <w:r w:rsidR="00414C63">
        <w:rPr>
          <w:rFonts w:ascii="Times New Roman" w:hAnsi="Times New Roman" w:cs="Times New Roman"/>
        </w:rPr>
        <w:t>récemment proposé la création d’</w:t>
      </w:r>
      <w:r w:rsidR="006107D9">
        <w:rPr>
          <w:rFonts w:ascii="Times New Roman" w:hAnsi="Times New Roman" w:cs="Times New Roman"/>
        </w:rPr>
        <w:t xml:space="preserve">une Cour permanente </w:t>
      </w:r>
      <w:r w:rsidR="00526C99">
        <w:rPr>
          <w:rFonts w:ascii="Times New Roman" w:hAnsi="Times New Roman" w:cs="Times New Roman"/>
        </w:rPr>
        <w:t>dans le cadre de sa négociation du Partenariat transatlantique avec les États-Unis</w:t>
      </w:r>
      <w:r w:rsidR="009B6A30">
        <w:rPr>
          <w:rFonts w:ascii="Times New Roman" w:hAnsi="Times New Roman" w:cs="Times New Roman"/>
        </w:rPr>
        <w:t xml:space="preserve"> (2010 : 10; 2014 : 11)</w:t>
      </w:r>
      <w:r w:rsidR="006107D9">
        <w:rPr>
          <w:rFonts w:ascii="Times New Roman" w:hAnsi="Times New Roman" w:cs="Times New Roman"/>
        </w:rPr>
        <w:t xml:space="preserve">. Bien qu’il soit relativement improbable </w:t>
      </w:r>
      <w:r w:rsidR="009B6A30">
        <w:rPr>
          <w:rFonts w:ascii="Times New Roman" w:hAnsi="Times New Roman" w:cs="Times New Roman"/>
        </w:rPr>
        <w:t>que cette dernière</w:t>
      </w:r>
      <w:r w:rsidR="006107D9">
        <w:rPr>
          <w:rFonts w:ascii="Times New Roman" w:hAnsi="Times New Roman" w:cs="Times New Roman"/>
        </w:rPr>
        <w:t xml:space="preserve"> proposition se réalise, les prochains p</w:t>
      </w:r>
      <w:r w:rsidR="00414C63">
        <w:rPr>
          <w:rFonts w:ascii="Times New Roman" w:hAnsi="Times New Roman" w:cs="Times New Roman"/>
        </w:rPr>
        <w:t xml:space="preserve">aragraphes </w:t>
      </w:r>
      <w:r w:rsidR="00F96BA6">
        <w:rPr>
          <w:rFonts w:ascii="Times New Roman" w:hAnsi="Times New Roman" w:cs="Times New Roman"/>
        </w:rPr>
        <w:t xml:space="preserve">de cette dernière sous-section </w:t>
      </w:r>
      <w:r w:rsidR="00414C63">
        <w:rPr>
          <w:rFonts w:ascii="Times New Roman" w:hAnsi="Times New Roman" w:cs="Times New Roman"/>
        </w:rPr>
        <w:t xml:space="preserve">la mettront à profit </w:t>
      </w:r>
      <w:r w:rsidR="00893FCA">
        <w:rPr>
          <w:rFonts w:ascii="Times New Roman" w:hAnsi="Times New Roman" w:cs="Times New Roman"/>
        </w:rPr>
        <w:t>pour analyser</w:t>
      </w:r>
      <w:r w:rsidR="006107D9">
        <w:rPr>
          <w:rFonts w:ascii="Times New Roman" w:hAnsi="Times New Roman" w:cs="Times New Roman"/>
        </w:rPr>
        <w:t xml:space="preserve"> </w:t>
      </w:r>
      <w:r w:rsidR="00893FCA">
        <w:rPr>
          <w:rFonts w:ascii="Times New Roman" w:hAnsi="Times New Roman" w:cs="Times New Roman"/>
        </w:rPr>
        <w:t xml:space="preserve">les principales </w:t>
      </w:r>
      <w:r w:rsidR="009B6A30">
        <w:rPr>
          <w:rFonts w:ascii="Times New Roman" w:hAnsi="Times New Roman" w:cs="Times New Roman"/>
        </w:rPr>
        <w:t>clauses</w:t>
      </w:r>
      <w:r w:rsidR="00BA161A">
        <w:rPr>
          <w:rFonts w:ascii="Times New Roman" w:hAnsi="Times New Roman" w:cs="Times New Roman"/>
        </w:rPr>
        <w:t xml:space="preserve"> </w:t>
      </w:r>
      <w:r w:rsidR="00F96BA6">
        <w:rPr>
          <w:rFonts w:ascii="Times New Roman" w:hAnsi="Times New Roman" w:cs="Times New Roman"/>
        </w:rPr>
        <w:t>du mécanisme d’arbitrage</w:t>
      </w:r>
      <w:r w:rsidR="00893FCA">
        <w:rPr>
          <w:rFonts w:ascii="Times New Roman" w:hAnsi="Times New Roman" w:cs="Times New Roman"/>
        </w:rPr>
        <w:t xml:space="preserve"> investisseur – État </w:t>
      </w:r>
      <w:r w:rsidR="009B6A30">
        <w:rPr>
          <w:rFonts w:ascii="Times New Roman" w:hAnsi="Times New Roman" w:cs="Times New Roman"/>
        </w:rPr>
        <w:t xml:space="preserve">que l’Union européenne développe </w:t>
      </w:r>
      <w:r w:rsidR="00893FCA">
        <w:rPr>
          <w:rFonts w:ascii="Times New Roman" w:hAnsi="Times New Roman" w:cs="Times New Roman"/>
        </w:rPr>
        <w:t>actuellement</w:t>
      </w:r>
      <w:r w:rsidR="009B6A30">
        <w:rPr>
          <w:rFonts w:ascii="Times New Roman" w:hAnsi="Times New Roman" w:cs="Times New Roman"/>
        </w:rPr>
        <w:t>.</w:t>
      </w:r>
      <w:r w:rsidR="00893FCA">
        <w:rPr>
          <w:rFonts w:ascii="Times New Roman" w:hAnsi="Times New Roman" w:cs="Times New Roman"/>
        </w:rPr>
        <w:t xml:space="preserve"> </w:t>
      </w:r>
    </w:p>
    <w:p w14:paraId="5792EB8B" w14:textId="7A8A0684" w:rsidR="00DD6D61" w:rsidRPr="0091332B" w:rsidRDefault="00DD6D61" w:rsidP="002C5200">
      <w:pPr>
        <w:pStyle w:val="Titre3"/>
        <w:rPr>
          <w:rFonts w:ascii="Times New Roman" w:hAnsi="Times New Roman" w:cs="Times New Roman"/>
          <w:b w:val="0"/>
          <w:i/>
          <w:color w:val="auto"/>
          <w:sz w:val="26"/>
          <w:szCs w:val="26"/>
        </w:rPr>
      </w:pPr>
      <w:bookmarkStart w:id="25" w:name="_Toc313471477"/>
      <w:r w:rsidRPr="0091332B">
        <w:rPr>
          <w:rFonts w:ascii="Times New Roman" w:hAnsi="Times New Roman" w:cs="Times New Roman"/>
          <w:b w:val="0"/>
          <w:i/>
          <w:color w:val="auto"/>
          <w:sz w:val="26"/>
          <w:szCs w:val="26"/>
        </w:rPr>
        <w:t xml:space="preserve">4.4.1 </w:t>
      </w:r>
      <w:r w:rsidR="002C5200" w:rsidRPr="0091332B">
        <w:rPr>
          <w:rFonts w:ascii="Times New Roman" w:hAnsi="Times New Roman" w:cs="Times New Roman"/>
          <w:b w:val="0"/>
          <w:i/>
          <w:color w:val="auto"/>
          <w:sz w:val="26"/>
          <w:szCs w:val="26"/>
        </w:rPr>
        <w:t>Des mécanismes non-juridictionnels en apparence important</w:t>
      </w:r>
      <w:bookmarkEnd w:id="25"/>
      <w:r w:rsidR="006A5780" w:rsidRPr="0091332B">
        <w:rPr>
          <w:rFonts w:ascii="Times New Roman" w:hAnsi="Times New Roman" w:cs="Times New Roman"/>
          <w:b w:val="0"/>
          <w:i/>
          <w:color w:val="auto"/>
          <w:sz w:val="26"/>
          <w:szCs w:val="26"/>
        </w:rPr>
        <w:t>s</w:t>
      </w:r>
    </w:p>
    <w:p w14:paraId="20BF5727" w14:textId="68BDB8A1" w:rsidR="00FE58BD" w:rsidRDefault="00850489" w:rsidP="00BA43F7">
      <w:pPr>
        <w:spacing w:before="120" w:after="120" w:line="360" w:lineRule="auto"/>
        <w:jc w:val="both"/>
        <w:rPr>
          <w:rFonts w:ascii="Times New Roman" w:hAnsi="Times New Roman" w:cs="Times New Roman"/>
        </w:rPr>
      </w:pPr>
      <w:r>
        <w:rPr>
          <w:rFonts w:ascii="Times New Roman" w:hAnsi="Times New Roman" w:cs="Times New Roman"/>
        </w:rPr>
        <w:t xml:space="preserve">Le premier point qui ressort </w:t>
      </w:r>
      <w:r w:rsidR="0042231C">
        <w:rPr>
          <w:rFonts w:ascii="Times New Roman" w:hAnsi="Times New Roman" w:cs="Times New Roman"/>
        </w:rPr>
        <w:t xml:space="preserve">à </w:t>
      </w:r>
      <w:r w:rsidR="00414C63">
        <w:rPr>
          <w:rFonts w:ascii="Times New Roman" w:hAnsi="Times New Roman" w:cs="Times New Roman"/>
        </w:rPr>
        <w:t xml:space="preserve">la lecture de l’ALEUES, </w:t>
      </w:r>
      <w:r w:rsidR="00F96BA6">
        <w:rPr>
          <w:rFonts w:ascii="Times New Roman" w:hAnsi="Times New Roman" w:cs="Times New Roman"/>
        </w:rPr>
        <w:t xml:space="preserve">de </w:t>
      </w:r>
      <w:r w:rsidR="00414C63">
        <w:rPr>
          <w:rFonts w:ascii="Times New Roman" w:hAnsi="Times New Roman" w:cs="Times New Roman"/>
        </w:rPr>
        <w:t xml:space="preserve">l’AECG </w:t>
      </w:r>
      <w:r w:rsidR="0042231C">
        <w:rPr>
          <w:rFonts w:ascii="Times New Roman" w:hAnsi="Times New Roman" w:cs="Times New Roman"/>
        </w:rPr>
        <w:t xml:space="preserve">et </w:t>
      </w:r>
      <w:r w:rsidR="00414C63">
        <w:rPr>
          <w:rFonts w:ascii="Times New Roman" w:hAnsi="Times New Roman" w:cs="Times New Roman"/>
        </w:rPr>
        <w:t>de la proposition de Cour au sein des négociations du Partenariat transatlantique</w:t>
      </w:r>
      <w:r w:rsidR="0042231C">
        <w:rPr>
          <w:rFonts w:ascii="Times New Roman" w:hAnsi="Times New Roman" w:cs="Times New Roman"/>
        </w:rPr>
        <w:t xml:space="preserve"> </w:t>
      </w:r>
      <w:r w:rsidR="00A33A56">
        <w:rPr>
          <w:rFonts w:ascii="Times New Roman" w:hAnsi="Times New Roman" w:cs="Times New Roman"/>
        </w:rPr>
        <w:t xml:space="preserve">est </w:t>
      </w:r>
      <w:r w:rsidR="0042231C">
        <w:rPr>
          <w:rFonts w:ascii="Times New Roman" w:hAnsi="Times New Roman" w:cs="Times New Roman"/>
        </w:rPr>
        <w:t xml:space="preserve">que </w:t>
      </w:r>
      <w:r w:rsidR="00414C63">
        <w:rPr>
          <w:rFonts w:ascii="Times New Roman" w:hAnsi="Times New Roman" w:cs="Times New Roman"/>
        </w:rPr>
        <w:t>la Commission européenne</w:t>
      </w:r>
      <w:r w:rsidR="0042231C">
        <w:rPr>
          <w:rFonts w:ascii="Times New Roman" w:hAnsi="Times New Roman" w:cs="Times New Roman"/>
        </w:rPr>
        <w:t xml:space="preserve"> accorde une importance particulière</w:t>
      </w:r>
      <w:r w:rsidR="00414C63">
        <w:rPr>
          <w:rFonts w:ascii="Times New Roman" w:hAnsi="Times New Roman" w:cs="Times New Roman"/>
        </w:rPr>
        <w:t xml:space="preserve"> aux mécanismes non-juridictionnels. </w:t>
      </w:r>
      <w:r w:rsidR="0042231C">
        <w:rPr>
          <w:rFonts w:ascii="Times New Roman" w:hAnsi="Times New Roman" w:cs="Times New Roman"/>
        </w:rPr>
        <w:t>Elle fait plus particulièrement la promotion de l</w:t>
      </w:r>
      <w:r w:rsidR="00EA6E7C">
        <w:rPr>
          <w:rFonts w:ascii="Times New Roman" w:hAnsi="Times New Roman" w:cs="Times New Roman"/>
        </w:rPr>
        <w:t xml:space="preserve">a </w:t>
      </w:r>
      <w:r w:rsidR="0042231C">
        <w:rPr>
          <w:rFonts w:ascii="Times New Roman" w:hAnsi="Times New Roman" w:cs="Times New Roman"/>
        </w:rPr>
        <w:t xml:space="preserve">médiation tout en obligeant la tenue de consultations </w:t>
      </w:r>
      <w:r w:rsidR="00EA6E7C">
        <w:rPr>
          <w:rFonts w:ascii="Times New Roman" w:hAnsi="Times New Roman" w:cs="Times New Roman"/>
        </w:rPr>
        <w:t xml:space="preserve">avant </w:t>
      </w:r>
      <w:r w:rsidR="0042231C">
        <w:rPr>
          <w:rFonts w:ascii="Times New Roman" w:hAnsi="Times New Roman" w:cs="Times New Roman"/>
        </w:rPr>
        <w:t xml:space="preserve">que </w:t>
      </w:r>
      <w:r w:rsidR="00F96BA6">
        <w:rPr>
          <w:rFonts w:ascii="Times New Roman" w:hAnsi="Times New Roman" w:cs="Times New Roman"/>
        </w:rPr>
        <w:t xml:space="preserve">l’ensemble des dispositions </w:t>
      </w:r>
      <w:r w:rsidR="00EA6E7C">
        <w:rPr>
          <w:rFonts w:ascii="Times New Roman" w:hAnsi="Times New Roman" w:cs="Times New Roman"/>
        </w:rPr>
        <w:t>du mécanisme de règlement des différends</w:t>
      </w:r>
      <w:r w:rsidR="0042231C">
        <w:rPr>
          <w:rFonts w:ascii="Times New Roman" w:hAnsi="Times New Roman" w:cs="Times New Roman"/>
        </w:rPr>
        <w:t xml:space="preserve"> puisse être enclenché</w:t>
      </w:r>
      <w:r w:rsidR="00EA6E7C">
        <w:rPr>
          <w:rFonts w:ascii="Times New Roman" w:hAnsi="Times New Roman" w:cs="Times New Roman"/>
        </w:rPr>
        <w:t xml:space="preserve">. </w:t>
      </w:r>
      <w:r w:rsidR="0042231C">
        <w:rPr>
          <w:rFonts w:ascii="Times New Roman" w:hAnsi="Times New Roman" w:cs="Times New Roman"/>
        </w:rPr>
        <w:t>Cela dit, même</w:t>
      </w:r>
      <w:r w:rsidR="00EA6E7C">
        <w:rPr>
          <w:rFonts w:ascii="Times New Roman" w:hAnsi="Times New Roman" w:cs="Times New Roman"/>
        </w:rPr>
        <w:t xml:space="preserve"> si le langage change quelque peu, </w:t>
      </w:r>
      <w:proofErr w:type="spellStart"/>
      <w:r w:rsidR="00EA6E7C">
        <w:rPr>
          <w:rFonts w:ascii="Times New Roman" w:hAnsi="Times New Roman" w:cs="Times New Roman"/>
        </w:rPr>
        <w:t>Tams</w:t>
      </w:r>
      <w:proofErr w:type="spellEnd"/>
      <w:r w:rsidR="00EA6E7C">
        <w:rPr>
          <w:rFonts w:ascii="Times New Roman" w:hAnsi="Times New Roman" w:cs="Times New Roman"/>
        </w:rPr>
        <w:t xml:space="preserve"> souligne que la Commission n’innove pas réellement (2014 :</w:t>
      </w:r>
      <w:r w:rsidR="00015E30">
        <w:rPr>
          <w:rFonts w:ascii="Times New Roman" w:hAnsi="Times New Roman" w:cs="Times New Roman"/>
        </w:rPr>
        <w:t xml:space="preserve"> 22)</w:t>
      </w:r>
      <w:r w:rsidR="00EA6E7C">
        <w:rPr>
          <w:rFonts w:ascii="Times New Roman" w:hAnsi="Times New Roman" w:cs="Times New Roman"/>
        </w:rPr>
        <w:t>.</w:t>
      </w:r>
      <w:r w:rsidR="00015E30">
        <w:rPr>
          <w:rFonts w:ascii="Times New Roman" w:hAnsi="Times New Roman" w:cs="Times New Roman"/>
        </w:rPr>
        <w:t xml:space="preserve"> L</w:t>
      </w:r>
      <w:r w:rsidR="00EA6E7C">
        <w:rPr>
          <w:rFonts w:ascii="Times New Roman" w:hAnsi="Times New Roman" w:cs="Times New Roman"/>
        </w:rPr>
        <w:t xml:space="preserve">’obligation de participer </w:t>
      </w:r>
      <w:r w:rsidR="0042231C">
        <w:rPr>
          <w:rFonts w:ascii="Times New Roman" w:hAnsi="Times New Roman" w:cs="Times New Roman"/>
        </w:rPr>
        <w:t>à des consultations fai</w:t>
      </w:r>
      <w:r w:rsidR="00F96BA6">
        <w:rPr>
          <w:rFonts w:ascii="Times New Roman" w:hAnsi="Times New Roman" w:cs="Times New Roman"/>
        </w:rPr>
        <w:t>t partie de la</w:t>
      </w:r>
      <w:r w:rsidR="00015E30">
        <w:rPr>
          <w:rFonts w:ascii="Times New Roman" w:hAnsi="Times New Roman" w:cs="Times New Roman"/>
        </w:rPr>
        <w:t xml:space="preserve"> pratique </w:t>
      </w:r>
      <w:r w:rsidR="00E250E0">
        <w:rPr>
          <w:rFonts w:ascii="Times New Roman" w:hAnsi="Times New Roman" w:cs="Times New Roman"/>
        </w:rPr>
        <w:t>courante</w:t>
      </w:r>
      <w:r w:rsidR="00F96BA6">
        <w:rPr>
          <w:rFonts w:ascii="Times New Roman" w:hAnsi="Times New Roman" w:cs="Times New Roman"/>
        </w:rPr>
        <w:t xml:space="preserve"> de</w:t>
      </w:r>
      <w:r w:rsidR="00015E30">
        <w:rPr>
          <w:rFonts w:ascii="Times New Roman" w:hAnsi="Times New Roman" w:cs="Times New Roman"/>
        </w:rPr>
        <w:t xml:space="preserve"> tous les É</w:t>
      </w:r>
      <w:r w:rsidR="00F96BA6">
        <w:rPr>
          <w:rFonts w:ascii="Times New Roman" w:hAnsi="Times New Roman" w:cs="Times New Roman"/>
        </w:rPr>
        <w:t xml:space="preserve">tats </w:t>
      </w:r>
      <w:r w:rsidR="00015E30">
        <w:rPr>
          <w:rFonts w:ascii="Times New Roman" w:hAnsi="Times New Roman" w:cs="Times New Roman"/>
        </w:rPr>
        <w:t xml:space="preserve">européens </w:t>
      </w:r>
      <w:r w:rsidR="00F96BA6">
        <w:rPr>
          <w:rFonts w:ascii="Times New Roman" w:hAnsi="Times New Roman" w:cs="Times New Roman"/>
        </w:rPr>
        <w:t xml:space="preserve">et </w:t>
      </w:r>
      <w:r w:rsidR="00015E30">
        <w:rPr>
          <w:rFonts w:ascii="Times New Roman" w:hAnsi="Times New Roman" w:cs="Times New Roman"/>
        </w:rPr>
        <w:t>am</w:t>
      </w:r>
      <w:r w:rsidR="00F96BA6">
        <w:rPr>
          <w:rFonts w:ascii="Times New Roman" w:hAnsi="Times New Roman" w:cs="Times New Roman"/>
        </w:rPr>
        <w:t xml:space="preserve">éricains, et même si certaines particularités </w:t>
      </w:r>
      <w:r w:rsidR="00015E30">
        <w:rPr>
          <w:rFonts w:ascii="Times New Roman" w:hAnsi="Times New Roman" w:cs="Times New Roman"/>
        </w:rPr>
        <w:t>pouvaient être soulevées, e</w:t>
      </w:r>
      <w:r w:rsidR="0042231C">
        <w:rPr>
          <w:rFonts w:ascii="Times New Roman" w:hAnsi="Times New Roman" w:cs="Times New Roman"/>
        </w:rPr>
        <w:t xml:space="preserve">lles ne devraient avoir </w:t>
      </w:r>
      <w:r w:rsidR="00015E30">
        <w:rPr>
          <w:rFonts w:ascii="Times New Roman" w:hAnsi="Times New Roman" w:cs="Times New Roman"/>
        </w:rPr>
        <w:t>que peu d’impact réel. La promotion de la médiation e</w:t>
      </w:r>
      <w:r w:rsidR="00E250E0">
        <w:rPr>
          <w:rFonts w:ascii="Times New Roman" w:hAnsi="Times New Roman" w:cs="Times New Roman"/>
        </w:rPr>
        <w:t>st quant à elle absente</w:t>
      </w:r>
      <w:r w:rsidR="00015E30">
        <w:rPr>
          <w:rFonts w:ascii="Times New Roman" w:hAnsi="Times New Roman" w:cs="Times New Roman"/>
        </w:rPr>
        <w:t xml:space="preserve"> de la majorité des traités</w:t>
      </w:r>
      <w:r w:rsidR="00E250E0">
        <w:rPr>
          <w:rFonts w:ascii="Times New Roman" w:hAnsi="Times New Roman" w:cs="Times New Roman"/>
        </w:rPr>
        <w:t xml:space="preserve"> bilatéraux d’investissement</w:t>
      </w:r>
      <w:r w:rsidR="00015E30">
        <w:rPr>
          <w:rFonts w:ascii="Times New Roman" w:hAnsi="Times New Roman" w:cs="Times New Roman"/>
        </w:rPr>
        <w:t>,</w:t>
      </w:r>
      <w:r w:rsidR="00F74DDC">
        <w:rPr>
          <w:rFonts w:ascii="Times New Roman" w:hAnsi="Times New Roman" w:cs="Times New Roman"/>
        </w:rPr>
        <w:t xml:space="preserve"> mais c’est une pratique relativement </w:t>
      </w:r>
      <w:r w:rsidR="00A921D8">
        <w:rPr>
          <w:rFonts w:ascii="Times New Roman" w:hAnsi="Times New Roman" w:cs="Times New Roman"/>
        </w:rPr>
        <w:t>courante</w:t>
      </w:r>
      <w:r w:rsidR="00F74DDC">
        <w:rPr>
          <w:rFonts w:ascii="Times New Roman" w:hAnsi="Times New Roman" w:cs="Times New Roman"/>
        </w:rPr>
        <w:t xml:space="preserve"> en droit international. </w:t>
      </w:r>
      <w:r w:rsidR="0042231C">
        <w:rPr>
          <w:rFonts w:ascii="Times New Roman" w:hAnsi="Times New Roman" w:cs="Times New Roman"/>
        </w:rPr>
        <w:t>L</w:t>
      </w:r>
      <w:r w:rsidR="00F74DDC">
        <w:rPr>
          <w:rFonts w:ascii="Times New Roman" w:hAnsi="Times New Roman" w:cs="Times New Roman"/>
        </w:rPr>
        <w:t>’article 5 du Mémorandum d’accord sur</w:t>
      </w:r>
      <w:r w:rsidR="00F74DDC" w:rsidRPr="00F74DDC">
        <w:rPr>
          <w:rFonts w:ascii="Times New Roman" w:hAnsi="Times New Roman" w:cs="Times New Roman"/>
        </w:rPr>
        <w:t xml:space="preserve"> les Règles </w:t>
      </w:r>
      <w:r w:rsidR="00F74DDC" w:rsidRPr="00F74DDC">
        <w:rPr>
          <w:rFonts w:ascii="Times New Roman" w:hAnsi="Times New Roman" w:cs="Times New Roman"/>
        </w:rPr>
        <w:lastRenderedPageBreak/>
        <w:t>et Procédures Régissant le Règlement des Différends</w:t>
      </w:r>
      <w:r w:rsidR="00F74DDC">
        <w:rPr>
          <w:rFonts w:ascii="Times New Roman" w:hAnsi="Times New Roman" w:cs="Times New Roman"/>
        </w:rPr>
        <w:t xml:space="preserve"> </w:t>
      </w:r>
      <w:r w:rsidR="00F96BA6">
        <w:rPr>
          <w:rFonts w:ascii="Times New Roman" w:hAnsi="Times New Roman" w:cs="Times New Roman"/>
        </w:rPr>
        <w:t>peut notamment avoir servi</w:t>
      </w:r>
      <w:r w:rsidR="0042231C">
        <w:rPr>
          <w:rFonts w:ascii="Times New Roman" w:hAnsi="Times New Roman" w:cs="Times New Roman"/>
        </w:rPr>
        <w:t xml:space="preserve"> de source d’inspiration et </w:t>
      </w:r>
      <w:r w:rsidR="00B53103">
        <w:rPr>
          <w:rFonts w:ascii="Times New Roman" w:hAnsi="Times New Roman" w:cs="Times New Roman"/>
        </w:rPr>
        <w:t>ressemble sensiblement à</w:t>
      </w:r>
      <w:r w:rsidR="00D0032F">
        <w:rPr>
          <w:rFonts w:ascii="Times New Roman" w:hAnsi="Times New Roman" w:cs="Times New Roman"/>
        </w:rPr>
        <w:t xml:space="preserve"> l’article</w:t>
      </w:r>
      <w:r w:rsidR="00B53103">
        <w:rPr>
          <w:rFonts w:ascii="Times New Roman" w:hAnsi="Times New Roman" w:cs="Times New Roman"/>
        </w:rPr>
        <w:t xml:space="preserve"> </w:t>
      </w:r>
      <w:r w:rsidR="0042231C">
        <w:rPr>
          <w:rFonts w:ascii="Times New Roman" w:hAnsi="Times New Roman" w:cs="Times New Roman"/>
        </w:rPr>
        <w:t>X.19 d</w:t>
      </w:r>
      <w:r w:rsidR="00D0032F">
        <w:rPr>
          <w:rFonts w:ascii="Times New Roman" w:hAnsi="Times New Roman" w:cs="Times New Roman"/>
        </w:rPr>
        <w:t xml:space="preserve">u chapitre sur l’investissement de </w:t>
      </w:r>
      <w:r w:rsidR="00B53103">
        <w:rPr>
          <w:rFonts w:ascii="Times New Roman" w:hAnsi="Times New Roman" w:cs="Times New Roman"/>
        </w:rPr>
        <w:t xml:space="preserve">l’AECG. </w:t>
      </w:r>
      <w:r w:rsidR="0042231C">
        <w:rPr>
          <w:rFonts w:ascii="Times New Roman" w:hAnsi="Times New Roman" w:cs="Times New Roman"/>
        </w:rPr>
        <w:t>Il faut néanmoins reconnaître que l</w:t>
      </w:r>
      <w:r w:rsidR="00B53103">
        <w:rPr>
          <w:rFonts w:ascii="Times New Roman" w:hAnsi="Times New Roman" w:cs="Times New Roman"/>
        </w:rPr>
        <w:t>a plus récente proposition de Cour</w:t>
      </w:r>
      <w:r w:rsidR="0042231C">
        <w:rPr>
          <w:rFonts w:ascii="Times New Roman" w:hAnsi="Times New Roman" w:cs="Times New Roman"/>
        </w:rPr>
        <w:t xml:space="preserve"> inclut une annexe sur la médiation qui</w:t>
      </w:r>
      <w:r w:rsidR="00B53103">
        <w:rPr>
          <w:rFonts w:ascii="Times New Roman" w:hAnsi="Times New Roman" w:cs="Times New Roman"/>
        </w:rPr>
        <w:t xml:space="preserve"> </w:t>
      </w:r>
      <w:r w:rsidR="0042231C">
        <w:rPr>
          <w:rFonts w:ascii="Times New Roman" w:hAnsi="Times New Roman" w:cs="Times New Roman"/>
        </w:rPr>
        <w:t>a un niveau de précision plus élevé</w:t>
      </w:r>
      <w:r w:rsidR="00B53103">
        <w:rPr>
          <w:rFonts w:ascii="Times New Roman" w:hAnsi="Times New Roman" w:cs="Times New Roman"/>
        </w:rPr>
        <w:t xml:space="preserve">. Si </w:t>
      </w:r>
      <w:r w:rsidR="00F96BA6">
        <w:rPr>
          <w:rFonts w:ascii="Times New Roman" w:hAnsi="Times New Roman" w:cs="Times New Roman"/>
        </w:rPr>
        <w:t xml:space="preserve">cette annexe est adoptée, son </w:t>
      </w:r>
      <w:r w:rsidR="00B53103">
        <w:rPr>
          <w:rFonts w:ascii="Times New Roman" w:hAnsi="Times New Roman" w:cs="Times New Roman"/>
        </w:rPr>
        <w:t>impact réel reste cependant encore à être démontr</w:t>
      </w:r>
      <w:r w:rsidR="00A921D8">
        <w:rPr>
          <w:rFonts w:ascii="Times New Roman" w:hAnsi="Times New Roman" w:cs="Times New Roman"/>
        </w:rPr>
        <w:t>é</w:t>
      </w:r>
      <w:r w:rsidR="0042231C">
        <w:rPr>
          <w:rFonts w:ascii="Times New Roman" w:hAnsi="Times New Roman" w:cs="Times New Roman"/>
        </w:rPr>
        <w:t xml:space="preserve"> puisque le mécanisme est non-contraignant. </w:t>
      </w:r>
    </w:p>
    <w:p w14:paraId="60D2CD23" w14:textId="1C28F928" w:rsidR="00DD6D61" w:rsidRPr="0091332B" w:rsidRDefault="00143B28" w:rsidP="00BA161A">
      <w:pPr>
        <w:pStyle w:val="Titre3"/>
        <w:rPr>
          <w:rFonts w:ascii="Times New Roman" w:hAnsi="Times New Roman" w:cs="Times New Roman"/>
          <w:b w:val="0"/>
          <w:i/>
          <w:color w:val="auto"/>
          <w:sz w:val="26"/>
          <w:szCs w:val="26"/>
        </w:rPr>
      </w:pPr>
      <w:bookmarkStart w:id="26" w:name="_Toc313471478"/>
      <w:r w:rsidRPr="0091332B">
        <w:rPr>
          <w:rFonts w:ascii="Times New Roman" w:hAnsi="Times New Roman" w:cs="Times New Roman"/>
          <w:b w:val="0"/>
          <w:i/>
          <w:color w:val="auto"/>
          <w:sz w:val="26"/>
          <w:szCs w:val="26"/>
        </w:rPr>
        <w:t xml:space="preserve">4.4.2 </w:t>
      </w:r>
      <w:r w:rsidR="00BA161A" w:rsidRPr="0091332B">
        <w:rPr>
          <w:rFonts w:ascii="Times New Roman" w:hAnsi="Times New Roman" w:cs="Times New Roman"/>
          <w:b w:val="0"/>
          <w:i/>
          <w:color w:val="auto"/>
          <w:sz w:val="26"/>
          <w:szCs w:val="26"/>
        </w:rPr>
        <w:t>Des procédures plus détaillées, mais peu de changements réels</w:t>
      </w:r>
      <w:bookmarkEnd w:id="26"/>
    </w:p>
    <w:p w14:paraId="55A007B6" w14:textId="4A49D4CC" w:rsidR="008F0EAA" w:rsidRDefault="00B36C0E" w:rsidP="00BA43F7">
      <w:pPr>
        <w:spacing w:before="120" w:after="120" w:line="360" w:lineRule="auto"/>
        <w:jc w:val="both"/>
        <w:rPr>
          <w:rFonts w:ascii="Times New Roman" w:hAnsi="Times New Roman" w:cs="Times New Roman"/>
        </w:rPr>
      </w:pPr>
      <w:r>
        <w:rPr>
          <w:rFonts w:ascii="Times New Roman" w:hAnsi="Times New Roman" w:cs="Times New Roman"/>
        </w:rPr>
        <w:t>Au sein de l’AECG, il est aussi notable que les</w:t>
      </w:r>
      <w:r w:rsidR="00BA161A">
        <w:rPr>
          <w:rFonts w:ascii="Times New Roman" w:hAnsi="Times New Roman" w:cs="Times New Roman"/>
        </w:rPr>
        <w:t xml:space="preserve"> règles procédurales de l’arbitrage investisseur – État sont beaucoup plus détaillées. Toutefois, une grande majorité d’entre elles sont loin d’être nouvelles puisqu’elles copient largement les règles du CIRDI ou de la CNUDCI et étaient donc déjà communes à la majorité des États.</w:t>
      </w:r>
      <w:r>
        <w:rPr>
          <w:rFonts w:ascii="Times New Roman" w:hAnsi="Times New Roman" w:cs="Times New Roman"/>
        </w:rPr>
        <w:t xml:space="preserve"> </w:t>
      </w:r>
      <w:r w:rsidR="00BA161A">
        <w:rPr>
          <w:rFonts w:ascii="Times New Roman" w:hAnsi="Times New Roman" w:cs="Times New Roman"/>
        </w:rPr>
        <w:t xml:space="preserve">Parmi celles relativement nouvelles, il peut être noter que les </w:t>
      </w:r>
      <w:r>
        <w:rPr>
          <w:rFonts w:ascii="Times New Roman" w:hAnsi="Times New Roman" w:cs="Times New Roman"/>
        </w:rPr>
        <w:t>investisseurs qui ont effectué leurs investissements de manière frauduleuse sont empêchés d’utiliser ce mécanisme de règlement des différends (</w:t>
      </w:r>
      <w:r w:rsidR="00D0032F">
        <w:rPr>
          <w:rFonts w:ascii="Times New Roman" w:hAnsi="Times New Roman" w:cs="Times New Roman"/>
        </w:rPr>
        <w:t xml:space="preserve">chapitre 10, </w:t>
      </w:r>
      <w:r>
        <w:rPr>
          <w:rFonts w:ascii="Times New Roman" w:hAnsi="Times New Roman" w:cs="Times New Roman"/>
        </w:rPr>
        <w:t>art. X.17). Cela ne fait clairement pas partie de la pratique canadienne, mais il est en même temps difficile d’affirmer que cela vient d’une proposition européenne puisqu’une telle précision est absente de l’ALEUES et de sa proposition de Cour. Cet ajout n’était cependant peut-être pas essentiel puisqu’il est déjà indiqué au sein de la définition des investissements protégés (</w:t>
      </w:r>
      <w:proofErr w:type="spellStart"/>
      <w:r>
        <w:rPr>
          <w:rFonts w:ascii="Times New Roman" w:hAnsi="Times New Roman" w:cs="Times New Roman"/>
          <w:i/>
        </w:rPr>
        <w:t>covered</w:t>
      </w:r>
      <w:proofErr w:type="spellEnd"/>
      <w:r>
        <w:rPr>
          <w:rFonts w:ascii="Times New Roman" w:hAnsi="Times New Roman" w:cs="Times New Roman"/>
          <w:i/>
        </w:rPr>
        <w:t xml:space="preserve"> </w:t>
      </w:r>
      <w:proofErr w:type="spellStart"/>
      <w:r>
        <w:rPr>
          <w:rFonts w:ascii="Times New Roman" w:hAnsi="Times New Roman" w:cs="Times New Roman"/>
          <w:i/>
        </w:rPr>
        <w:t>investments</w:t>
      </w:r>
      <w:proofErr w:type="spellEnd"/>
      <w:r>
        <w:rPr>
          <w:rFonts w:ascii="Times New Roman" w:hAnsi="Times New Roman" w:cs="Times New Roman"/>
        </w:rPr>
        <w:t>) que ces derniers doivent avoir été effectués en conformité avec la loi applicable. Une telle définition est présente au sein de tous les modèles d’accord européen et est justement repr</w:t>
      </w:r>
      <w:r w:rsidR="0024583F">
        <w:rPr>
          <w:rFonts w:ascii="Times New Roman" w:hAnsi="Times New Roman" w:cs="Times New Roman"/>
        </w:rPr>
        <w:t>ise dans les accords qu’a négociés</w:t>
      </w:r>
      <w:r>
        <w:rPr>
          <w:rFonts w:ascii="Times New Roman" w:hAnsi="Times New Roman" w:cs="Times New Roman"/>
        </w:rPr>
        <w:t xml:space="preserve"> la Commission européenne</w:t>
      </w:r>
      <w:r w:rsidR="0024583F">
        <w:rPr>
          <w:rFonts w:ascii="Times New Roman" w:hAnsi="Times New Roman" w:cs="Times New Roman"/>
        </w:rPr>
        <w:t xml:space="preserve"> depuis l’entrée en vigueur du Traité de Lisbonne</w:t>
      </w:r>
      <w:r>
        <w:rPr>
          <w:rFonts w:ascii="Times New Roman" w:hAnsi="Times New Roman" w:cs="Times New Roman"/>
        </w:rPr>
        <w:t xml:space="preserve">. </w:t>
      </w:r>
      <w:r w:rsidR="0024583F">
        <w:rPr>
          <w:rFonts w:ascii="Times New Roman" w:hAnsi="Times New Roman" w:cs="Times New Roman"/>
        </w:rPr>
        <w:t>Des tribunaux arbitraux ont ainsi déjà reconnu, sur la base de clauses similaires, qu’il</w:t>
      </w:r>
      <w:r w:rsidR="00F96BA6">
        <w:rPr>
          <w:rFonts w:ascii="Times New Roman" w:hAnsi="Times New Roman" w:cs="Times New Roman"/>
        </w:rPr>
        <w:t>s</w:t>
      </w:r>
      <w:r w:rsidR="0024583F">
        <w:rPr>
          <w:rFonts w:ascii="Times New Roman" w:hAnsi="Times New Roman" w:cs="Times New Roman"/>
        </w:rPr>
        <w:t xml:space="preserve"> n’avai</w:t>
      </w:r>
      <w:r w:rsidR="00F96BA6">
        <w:rPr>
          <w:rFonts w:ascii="Times New Roman" w:hAnsi="Times New Roman" w:cs="Times New Roman"/>
        </w:rPr>
        <w:t>en</w:t>
      </w:r>
      <w:r w:rsidR="0024583F">
        <w:rPr>
          <w:rFonts w:ascii="Times New Roman" w:hAnsi="Times New Roman" w:cs="Times New Roman"/>
        </w:rPr>
        <w:t>t pas compétence pour entendre des affaires présentées par des investisseurs n’ayant pas respecté le droit nat</w:t>
      </w:r>
      <w:r w:rsidR="00FE4EE8">
        <w:rPr>
          <w:rFonts w:ascii="Times New Roman" w:hAnsi="Times New Roman" w:cs="Times New Roman"/>
        </w:rPr>
        <w:t>ional des États hôtes (</w:t>
      </w:r>
      <w:proofErr w:type="spellStart"/>
      <w:r w:rsidR="00FE4EE8">
        <w:rPr>
          <w:rFonts w:ascii="Times New Roman" w:hAnsi="Times New Roman" w:cs="Times New Roman"/>
        </w:rPr>
        <w:t>Newcombe</w:t>
      </w:r>
      <w:proofErr w:type="spellEnd"/>
      <w:r w:rsidR="0024583F">
        <w:rPr>
          <w:rFonts w:ascii="Times New Roman" w:hAnsi="Times New Roman" w:cs="Times New Roman"/>
        </w:rPr>
        <w:t xml:space="preserve"> 2013 : 200). Il ne devrait</w:t>
      </w:r>
      <w:r w:rsidR="005C5972">
        <w:rPr>
          <w:rFonts w:ascii="Times New Roman" w:hAnsi="Times New Roman" w:cs="Times New Roman"/>
        </w:rPr>
        <w:t xml:space="preserve"> donc pas </w:t>
      </w:r>
      <w:proofErr w:type="spellStart"/>
      <w:r w:rsidR="005C5972">
        <w:rPr>
          <w:rFonts w:ascii="Times New Roman" w:hAnsi="Times New Roman" w:cs="Times New Roman"/>
        </w:rPr>
        <w:t>apparaître</w:t>
      </w:r>
      <w:proofErr w:type="spellEnd"/>
      <w:r w:rsidR="005C5972">
        <w:rPr>
          <w:rFonts w:ascii="Times New Roman" w:hAnsi="Times New Roman" w:cs="Times New Roman"/>
        </w:rPr>
        <w:t xml:space="preserve"> étonnant que cette précision de l’AECG ne soit pas reprise dans le futur.</w:t>
      </w:r>
    </w:p>
    <w:p w14:paraId="4433C317" w14:textId="5006F433" w:rsidR="00863C1D" w:rsidRDefault="005C5972" w:rsidP="00BA43F7">
      <w:pPr>
        <w:spacing w:before="120" w:after="120" w:line="360" w:lineRule="auto"/>
        <w:jc w:val="both"/>
        <w:rPr>
          <w:rFonts w:ascii="Times New Roman" w:hAnsi="Times New Roman" w:cs="Times New Roman"/>
        </w:rPr>
      </w:pPr>
      <w:r>
        <w:rPr>
          <w:rFonts w:ascii="Times New Roman" w:hAnsi="Times New Roman" w:cs="Times New Roman"/>
        </w:rPr>
        <w:t xml:space="preserve">Pour entamer </w:t>
      </w:r>
      <w:r w:rsidR="008F0EAA">
        <w:rPr>
          <w:rFonts w:ascii="Times New Roman" w:hAnsi="Times New Roman" w:cs="Times New Roman"/>
        </w:rPr>
        <w:t xml:space="preserve">une procédure d’arbitrage, le modèle que développe la Commission européenne prévoit également qu’un investisseur doit obligatoirement faire une demande de désignation de la partie visée. </w:t>
      </w:r>
      <w:r w:rsidR="00863C1D">
        <w:rPr>
          <w:rFonts w:ascii="Times New Roman" w:hAnsi="Times New Roman" w:cs="Times New Roman"/>
        </w:rPr>
        <w:t>Bien que procédurale, c</w:t>
      </w:r>
      <w:r w:rsidR="008F0EAA">
        <w:rPr>
          <w:rFonts w:ascii="Times New Roman" w:hAnsi="Times New Roman" w:cs="Times New Roman"/>
        </w:rPr>
        <w:t>ette nouvelle règle est</w:t>
      </w:r>
      <w:r w:rsidR="00863C1D">
        <w:rPr>
          <w:rFonts w:ascii="Times New Roman" w:hAnsi="Times New Roman" w:cs="Times New Roman"/>
        </w:rPr>
        <w:t xml:space="preserve"> particulièrement intéressante </w:t>
      </w:r>
      <w:r w:rsidR="005139C0">
        <w:rPr>
          <w:rFonts w:ascii="Times New Roman" w:hAnsi="Times New Roman" w:cs="Times New Roman"/>
        </w:rPr>
        <w:t xml:space="preserve">et </w:t>
      </w:r>
      <w:r w:rsidR="00863C1D">
        <w:rPr>
          <w:rFonts w:ascii="Times New Roman" w:hAnsi="Times New Roman" w:cs="Times New Roman"/>
        </w:rPr>
        <w:t>résulte clairement de la construction européenne. Il est en effet complètement inutile pour les traités traditionnels signés entre deux États puisqu’un investisseur ne peut déposer sa plainte qu’envers une entité. Dans le cas de l’Union européenne, la question devient cependant quelque peu complexe. Est-ce l’État où l’investissement est situé qui devrait être défendeur et</w:t>
      </w:r>
      <w:r w:rsidR="00F96BA6">
        <w:rPr>
          <w:rFonts w:ascii="Times New Roman" w:hAnsi="Times New Roman" w:cs="Times New Roman"/>
        </w:rPr>
        <w:t>,</w:t>
      </w:r>
      <w:r w:rsidR="00863C1D">
        <w:rPr>
          <w:rFonts w:ascii="Times New Roman" w:hAnsi="Times New Roman" w:cs="Times New Roman"/>
        </w:rPr>
        <w:t xml:space="preserve"> le cas échéant</w:t>
      </w:r>
      <w:r w:rsidR="00F96BA6">
        <w:rPr>
          <w:rFonts w:ascii="Times New Roman" w:hAnsi="Times New Roman" w:cs="Times New Roman"/>
        </w:rPr>
        <w:t>,</w:t>
      </w:r>
      <w:r w:rsidR="00863C1D">
        <w:rPr>
          <w:rFonts w:ascii="Times New Roman" w:hAnsi="Times New Roman" w:cs="Times New Roman"/>
        </w:rPr>
        <w:t xml:space="preserve"> </w:t>
      </w:r>
      <w:r w:rsidR="00863C1D">
        <w:rPr>
          <w:rFonts w:ascii="Times New Roman" w:hAnsi="Times New Roman" w:cs="Times New Roman"/>
        </w:rPr>
        <w:lastRenderedPageBreak/>
        <w:t xml:space="preserve">payer la compensation ou l’Union européenne ? Cette question peut sembler </w:t>
      </w:r>
      <w:r w:rsidR="00F96BA6">
        <w:rPr>
          <w:rFonts w:ascii="Times New Roman" w:hAnsi="Times New Roman" w:cs="Times New Roman"/>
        </w:rPr>
        <w:t>anodine</w:t>
      </w:r>
      <w:r w:rsidR="00863C1D">
        <w:rPr>
          <w:rFonts w:ascii="Times New Roman" w:hAnsi="Times New Roman" w:cs="Times New Roman"/>
        </w:rPr>
        <w:t xml:space="preserve"> en apparence, mais toute personne familière avec une constru</w:t>
      </w:r>
      <w:r w:rsidR="00985851">
        <w:rPr>
          <w:rFonts w:ascii="Times New Roman" w:hAnsi="Times New Roman" w:cs="Times New Roman"/>
        </w:rPr>
        <w:t>ction politique du type fédéral</w:t>
      </w:r>
      <w:r w:rsidR="00863C1D">
        <w:rPr>
          <w:rFonts w:ascii="Times New Roman" w:hAnsi="Times New Roman" w:cs="Times New Roman"/>
        </w:rPr>
        <w:t xml:space="preserve"> sait que la question du partage des compétences peut devenir particulièrement problématique. En Europe, cette question pr</w:t>
      </w:r>
      <w:r w:rsidR="00AB4054">
        <w:rPr>
          <w:rFonts w:ascii="Times New Roman" w:hAnsi="Times New Roman" w:cs="Times New Roman"/>
        </w:rPr>
        <w:t>end une autre dimension puisque le concept « d’autonomie du droit eu</w:t>
      </w:r>
      <w:r w:rsidR="00F96BA6">
        <w:rPr>
          <w:rFonts w:ascii="Times New Roman" w:hAnsi="Times New Roman" w:cs="Times New Roman"/>
        </w:rPr>
        <w:t>ropéen » requiert</w:t>
      </w:r>
      <w:r w:rsidR="00AB4054">
        <w:rPr>
          <w:rFonts w:ascii="Times New Roman" w:hAnsi="Times New Roman" w:cs="Times New Roman"/>
        </w:rPr>
        <w:t xml:space="preserve"> que la CJE soit la seule Cour à pouvoir juger de </w:t>
      </w:r>
      <w:r w:rsidR="001B2E28">
        <w:rPr>
          <w:rFonts w:ascii="Times New Roman" w:hAnsi="Times New Roman" w:cs="Times New Roman"/>
        </w:rPr>
        <w:t>la répartition</w:t>
      </w:r>
      <w:r w:rsidR="00AB4054">
        <w:rPr>
          <w:rFonts w:ascii="Times New Roman" w:hAnsi="Times New Roman" w:cs="Times New Roman"/>
        </w:rPr>
        <w:t xml:space="preserve"> des compétences entre les États européens et les i</w:t>
      </w:r>
      <w:r w:rsidR="00FE4EE8">
        <w:rPr>
          <w:rFonts w:ascii="Times New Roman" w:hAnsi="Times New Roman" w:cs="Times New Roman"/>
        </w:rPr>
        <w:t>nstitutions européennes (</w:t>
      </w:r>
      <w:proofErr w:type="spellStart"/>
      <w:r w:rsidR="00FE4EE8">
        <w:rPr>
          <w:rFonts w:ascii="Times New Roman" w:hAnsi="Times New Roman" w:cs="Times New Roman"/>
        </w:rPr>
        <w:t>Schill</w:t>
      </w:r>
      <w:proofErr w:type="spellEnd"/>
      <w:r w:rsidR="00FE4EE8">
        <w:rPr>
          <w:rFonts w:ascii="Times New Roman" w:hAnsi="Times New Roman" w:cs="Times New Roman"/>
        </w:rPr>
        <w:t xml:space="preserve"> 2013 : 46; </w:t>
      </w:r>
      <w:proofErr w:type="spellStart"/>
      <w:r w:rsidR="00FE4EE8">
        <w:rPr>
          <w:rFonts w:ascii="Times New Roman" w:hAnsi="Times New Roman" w:cs="Times New Roman"/>
        </w:rPr>
        <w:t>Herrmann</w:t>
      </w:r>
      <w:proofErr w:type="spellEnd"/>
      <w:r w:rsidR="00AB4054">
        <w:rPr>
          <w:rFonts w:ascii="Times New Roman" w:hAnsi="Times New Roman" w:cs="Times New Roman"/>
        </w:rPr>
        <w:t xml:space="preserve"> 2014 : 582). Ainsi, contrairement à ce que Dufour et Pavot</w:t>
      </w:r>
      <w:r w:rsidR="00985851">
        <w:rPr>
          <w:rFonts w:ascii="Times New Roman" w:hAnsi="Times New Roman" w:cs="Times New Roman"/>
        </w:rPr>
        <w:t xml:space="preserve"> (2015)</w:t>
      </w:r>
      <w:r w:rsidR="00AB4054">
        <w:rPr>
          <w:rFonts w:ascii="Times New Roman" w:hAnsi="Times New Roman" w:cs="Times New Roman"/>
        </w:rPr>
        <w:t xml:space="preserve"> affirme</w:t>
      </w:r>
      <w:r w:rsidR="001B2E28">
        <w:rPr>
          <w:rFonts w:ascii="Times New Roman" w:hAnsi="Times New Roman" w:cs="Times New Roman"/>
        </w:rPr>
        <w:t>nt</w:t>
      </w:r>
      <w:r w:rsidR="00AB4054">
        <w:rPr>
          <w:rFonts w:ascii="Times New Roman" w:hAnsi="Times New Roman" w:cs="Times New Roman"/>
        </w:rPr>
        <w:t xml:space="preserve">, la décision de ne pas proposer un guichet unique pour recevoir les plaintes comme </w:t>
      </w:r>
      <w:r w:rsidR="00985851">
        <w:rPr>
          <w:rFonts w:ascii="Times New Roman" w:hAnsi="Times New Roman" w:cs="Times New Roman"/>
        </w:rPr>
        <w:t>c’est le cas à</w:t>
      </w:r>
      <w:r w:rsidR="00AB4054">
        <w:rPr>
          <w:rFonts w:ascii="Times New Roman" w:hAnsi="Times New Roman" w:cs="Times New Roman"/>
        </w:rPr>
        <w:t xml:space="preserve"> l’OMC ne résulte pas d’une décision d’ordre politique, mais bien d’une question juridique propre à l’Europe. </w:t>
      </w:r>
      <w:proofErr w:type="spellStart"/>
      <w:r w:rsidR="00AB4054">
        <w:rPr>
          <w:rFonts w:ascii="Times New Roman" w:hAnsi="Times New Roman" w:cs="Times New Roman"/>
        </w:rPr>
        <w:t>Schill</w:t>
      </w:r>
      <w:proofErr w:type="spellEnd"/>
      <w:r w:rsidR="00AB4054">
        <w:rPr>
          <w:rFonts w:ascii="Times New Roman" w:hAnsi="Times New Roman" w:cs="Times New Roman"/>
        </w:rPr>
        <w:t xml:space="preserve"> souligne justement que pour s’assurer </w:t>
      </w:r>
      <w:r w:rsidR="00E95A02">
        <w:rPr>
          <w:rFonts w:ascii="Times New Roman" w:hAnsi="Times New Roman" w:cs="Times New Roman"/>
        </w:rPr>
        <w:t>que l’arbitrage investisseur – État respecte le droit européen</w:t>
      </w:r>
      <w:r w:rsidR="00AB4054">
        <w:rPr>
          <w:rFonts w:ascii="Times New Roman" w:hAnsi="Times New Roman" w:cs="Times New Roman"/>
        </w:rPr>
        <w:t xml:space="preserve">, les traités bilatéraux d’investissement signés par l’Europe </w:t>
      </w:r>
      <w:r w:rsidR="00E95A02">
        <w:rPr>
          <w:rFonts w:ascii="Times New Roman" w:hAnsi="Times New Roman" w:cs="Times New Roman"/>
        </w:rPr>
        <w:t xml:space="preserve">se doivent </w:t>
      </w:r>
      <w:r w:rsidR="001B2E28">
        <w:rPr>
          <w:rFonts w:ascii="Times New Roman" w:hAnsi="Times New Roman" w:cs="Times New Roman"/>
        </w:rPr>
        <w:t xml:space="preserve">« </w:t>
      </w:r>
      <w:r w:rsidR="00E95A02">
        <w:rPr>
          <w:rFonts w:ascii="Times New Roman" w:hAnsi="Times New Roman" w:cs="Times New Roman"/>
        </w:rPr>
        <w:t>d’</w:t>
      </w:r>
      <w:r w:rsidR="00AB4054">
        <w:rPr>
          <w:rFonts w:ascii="Times New Roman" w:hAnsi="Times New Roman" w:cs="Times New Roman"/>
        </w:rPr>
        <w:t>internaliser</w:t>
      </w:r>
      <w:r w:rsidR="001B2E28">
        <w:rPr>
          <w:rFonts w:ascii="Times New Roman" w:hAnsi="Times New Roman" w:cs="Times New Roman"/>
        </w:rPr>
        <w:t xml:space="preserve"> »</w:t>
      </w:r>
      <w:r w:rsidR="00AB4054">
        <w:rPr>
          <w:rFonts w:ascii="Times New Roman" w:hAnsi="Times New Roman" w:cs="Times New Roman"/>
        </w:rPr>
        <w:t xml:space="preserve"> la question de la détermination de la partie visée (2013 : 49). En l’occurrence, </w:t>
      </w:r>
      <w:r w:rsidR="00985851">
        <w:rPr>
          <w:rFonts w:ascii="Times New Roman" w:hAnsi="Times New Roman" w:cs="Times New Roman"/>
        </w:rPr>
        <w:t>cela copie la méthode utilisée par la Commission dans le cadre de certains traités environnementaux et la Charte de l’énergie, soit le seul traité d’investissement auquel la Communauté européenne était partie avec ses États membres avant l’entrée en vigueur du Traité de Lisbo</w:t>
      </w:r>
      <w:r w:rsidR="00FE4EE8">
        <w:rPr>
          <w:rFonts w:ascii="Times New Roman" w:hAnsi="Times New Roman" w:cs="Times New Roman"/>
        </w:rPr>
        <w:t>nne (</w:t>
      </w:r>
      <w:proofErr w:type="spellStart"/>
      <w:r w:rsidR="00FE4EE8">
        <w:rPr>
          <w:rFonts w:ascii="Times New Roman" w:hAnsi="Times New Roman" w:cs="Times New Roman"/>
        </w:rPr>
        <w:t>Schill</w:t>
      </w:r>
      <w:proofErr w:type="spellEnd"/>
      <w:r w:rsidR="00985851">
        <w:rPr>
          <w:rFonts w:ascii="Times New Roman" w:hAnsi="Times New Roman" w:cs="Times New Roman"/>
        </w:rPr>
        <w:t xml:space="preserve"> 2013 : 49).</w:t>
      </w:r>
    </w:p>
    <w:p w14:paraId="233DAF9C" w14:textId="291C3F7F" w:rsidR="00985851" w:rsidRDefault="001B2E28" w:rsidP="00BA43F7">
      <w:pPr>
        <w:spacing w:before="120" w:after="120" w:line="360" w:lineRule="auto"/>
        <w:jc w:val="both"/>
        <w:rPr>
          <w:rFonts w:ascii="Times New Roman" w:hAnsi="Times New Roman" w:cs="Times New Roman"/>
        </w:rPr>
      </w:pPr>
      <w:r>
        <w:rPr>
          <w:rFonts w:ascii="Times New Roman" w:hAnsi="Times New Roman" w:cs="Times New Roman"/>
        </w:rPr>
        <w:t>A</w:t>
      </w:r>
      <w:r w:rsidR="00985851">
        <w:rPr>
          <w:rFonts w:ascii="Times New Roman" w:hAnsi="Times New Roman" w:cs="Times New Roman"/>
        </w:rPr>
        <w:t>utre élément procédural intéressant à soul</w:t>
      </w:r>
      <w:r w:rsidR="00E95A02">
        <w:rPr>
          <w:rFonts w:ascii="Times New Roman" w:hAnsi="Times New Roman" w:cs="Times New Roman"/>
        </w:rPr>
        <w:t>igner</w:t>
      </w:r>
      <w:r>
        <w:rPr>
          <w:rFonts w:ascii="Times New Roman" w:hAnsi="Times New Roman" w:cs="Times New Roman"/>
        </w:rPr>
        <w:t> : dans le cadre</w:t>
      </w:r>
      <w:r w:rsidR="00E95A02">
        <w:rPr>
          <w:rFonts w:ascii="Times New Roman" w:hAnsi="Times New Roman" w:cs="Times New Roman"/>
        </w:rPr>
        <w:t xml:space="preserve"> de l’AECG et de sa proposition de Cour au sein des négociations du Partenariat transatlantique, la Commission européenne inclut une clause de bifurcation (</w:t>
      </w:r>
      <w:proofErr w:type="spellStart"/>
      <w:r w:rsidR="00E95A02">
        <w:rPr>
          <w:rFonts w:ascii="Times New Roman" w:hAnsi="Times New Roman" w:cs="Times New Roman"/>
          <w:i/>
        </w:rPr>
        <w:t>fork</w:t>
      </w:r>
      <w:proofErr w:type="spellEnd"/>
      <w:r w:rsidR="00E95A02">
        <w:rPr>
          <w:rFonts w:ascii="Times New Roman" w:hAnsi="Times New Roman" w:cs="Times New Roman"/>
          <w:i/>
        </w:rPr>
        <w:t xml:space="preserve"> in the road)</w:t>
      </w:r>
      <w:r w:rsidR="00E95A02">
        <w:rPr>
          <w:rFonts w:ascii="Times New Roman" w:hAnsi="Times New Roman" w:cs="Times New Roman"/>
        </w:rPr>
        <w:t>. Cette dernière</w:t>
      </w:r>
      <w:r w:rsidR="002F2FB4">
        <w:rPr>
          <w:rFonts w:ascii="Times New Roman" w:hAnsi="Times New Roman" w:cs="Times New Roman"/>
        </w:rPr>
        <w:t xml:space="preserve"> est absente de tous les modèles d’accord européen</w:t>
      </w:r>
      <w:r>
        <w:rPr>
          <w:rFonts w:ascii="Times New Roman" w:hAnsi="Times New Roman" w:cs="Times New Roman"/>
        </w:rPr>
        <w:t>s</w:t>
      </w:r>
      <w:r w:rsidR="002F2FB4">
        <w:rPr>
          <w:rFonts w:ascii="Times New Roman" w:hAnsi="Times New Roman" w:cs="Times New Roman"/>
        </w:rPr>
        <w:t xml:space="preserve"> utilisés et</w:t>
      </w:r>
      <w:r w:rsidR="00E95A02">
        <w:rPr>
          <w:rFonts w:ascii="Times New Roman" w:hAnsi="Times New Roman" w:cs="Times New Roman"/>
        </w:rPr>
        <w:t xml:space="preserve"> prévoit qu’un investisseur ne peut déposer une plainte devant une cour nationale une fois qu’il l’a présenté</w:t>
      </w:r>
      <w:r w:rsidR="002F2FB4">
        <w:rPr>
          <w:rFonts w:ascii="Times New Roman" w:hAnsi="Times New Roman" w:cs="Times New Roman"/>
        </w:rPr>
        <w:t>e</w:t>
      </w:r>
      <w:r w:rsidR="00E95A02">
        <w:rPr>
          <w:rFonts w:ascii="Times New Roman" w:hAnsi="Times New Roman" w:cs="Times New Roman"/>
        </w:rPr>
        <w:t xml:space="preserve"> devant un tribunal international. Il peut toutefois faire l’inverse et déposer en premier sa plainte devant une cou</w:t>
      </w:r>
      <w:r>
        <w:rPr>
          <w:rFonts w:ascii="Times New Roman" w:hAnsi="Times New Roman" w:cs="Times New Roman"/>
        </w:rPr>
        <w:t>r nationale et ensuite devant un</w:t>
      </w:r>
      <w:r w:rsidR="00E95A02">
        <w:rPr>
          <w:rFonts w:ascii="Times New Roman" w:hAnsi="Times New Roman" w:cs="Times New Roman"/>
        </w:rPr>
        <w:t xml:space="preserve"> tribunal international. Ici, il est évident que le modèle américain s’est imposé puisque ces clauses </w:t>
      </w:r>
      <w:r>
        <w:rPr>
          <w:rFonts w:ascii="Times New Roman" w:hAnsi="Times New Roman" w:cs="Times New Roman"/>
        </w:rPr>
        <w:t xml:space="preserve">reprennent </w:t>
      </w:r>
      <w:r w:rsidR="002F2FB4">
        <w:rPr>
          <w:rFonts w:ascii="Times New Roman" w:hAnsi="Times New Roman" w:cs="Times New Roman"/>
        </w:rPr>
        <w:t>celles présentes dans les accords des États-Unis et du Canada comme l’ALECC.</w:t>
      </w:r>
    </w:p>
    <w:p w14:paraId="05574521" w14:textId="511E0293" w:rsidR="002C5200" w:rsidRPr="002C5200" w:rsidRDefault="002C5200" w:rsidP="00BA43F7">
      <w:pPr>
        <w:spacing w:before="120" w:after="120" w:line="360" w:lineRule="auto"/>
        <w:jc w:val="both"/>
        <w:rPr>
          <w:rFonts w:ascii="Times New Roman" w:hAnsi="Times New Roman" w:cs="Times New Roman"/>
          <w:lang w:val="fr-FR"/>
        </w:rPr>
      </w:pPr>
      <w:r>
        <w:rPr>
          <w:rFonts w:ascii="Times New Roman" w:hAnsi="Times New Roman" w:cs="Times New Roman"/>
          <w:lang w:val="fr-FR"/>
        </w:rPr>
        <w:t xml:space="preserve">Au sein de l’ALEUES, de l’AECG et de sa récente proposition de Cour dans le cadre des négociations du Partenariat transatlantique, la Commission européenne met aussi de l’avant deux articles permettant de rapidement mettre un terme aux procédures si la plainte est manifestement sans mérite ou sans fondement juridique. Pour autant que cela soit nouveau par rapport à la pratique des États européens, la Convention CIRDI et le modèle d’accord canadien prévoyaient tous deux la possibilité pour un tribunal d’effectuer rapidement une évaluation préliminaire de sa compétence. </w:t>
      </w:r>
      <w:proofErr w:type="spellStart"/>
      <w:r>
        <w:rPr>
          <w:rFonts w:ascii="Times New Roman" w:hAnsi="Times New Roman" w:cs="Times New Roman"/>
          <w:lang w:val="fr-FR"/>
        </w:rPr>
        <w:t>Hoffmeister</w:t>
      </w:r>
      <w:proofErr w:type="spellEnd"/>
      <w:r>
        <w:rPr>
          <w:rFonts w:ascii="Times New Roman" w:hAnsi="Times New Roman" w:cs="Times New Roman"/>
          <w:lang w:val="fr-FR"/>
        </w:rPr>
        <w:t xml:space="preserve"> et </w:t>
      </w:r>
      <w:proofErr w:type="spellStart"/>
      <w:r>
        <w:rPr>
          <w:rFonts w:ascii="Times New Roman" w:hAnsi="Times New Roman" w:cs="Times New Roman"/>
          <w:lang w:val="fr-FR"/>
        </w:rPr>
        <w:t>Alexandru</w:t>
      </w:r>
      <w:proofErr w:type="spellEnd"/>
      <w:r>
        <w:rPr>
          <w:rFonts w:ascii="Times New Roman" w:hAnsi="Times New Roman" w:cs="Times New Roman"/>
          <w:lang w:val="fr-FR"/>
        </w:rPr>
        <w:t xml:space="preserve"> soutiennent quant à eux que cela suit aussi une approche européenne puisque cela reflète l’article 35(3)(a) de la Convention européenne des droits de </w:t>
      </w:r>
      <w:r>
        <w:rPr>
          <w:rFonts w:ascii="Times New Roman" w:hAnsi="Times New Roman" w:cs="Times New Roman"/>
          <w:lang w:val="fr-FR"/>
        </w:rPr>
        <w:lastRenderedPageBreak/>
        <w:t>l’homme (2014 : 399). Toutefois, le modèle des États-Unis de 2012 est réellement ce qui se rapproche du plus près de l’approche que met de l’avant la Commission européenne. Quoique le langage utilisé change quelque peu, les paragraphes 4 et 5 de l’article 28 du modèle américain présente sensiblement les deux mêmes procédures pour exclure des plaintes frivoles alors que les autres ne prévoient que l’exclusion des plaintes manifestement non fondées.</w:t>
      </w:r>
    </w:p>
    <w:p w14:paraId="543CAB93" w14:textId="11206E92" w:rsidR="00143B28" w:rsidRPr="0091332B" w:rsidRDefault="00143B28" w:rsidP="0091332B">
      <w:pPr>
        <w:pStyle w:val="Titre3"/>
        <w:jc w:val="both"/>
        <w:rPr>
          <w:rFonts w:ascii="Times New Roman" w:hAnsi="Times New Roman" w:cs="Times New Roman"/>
          <w:b w:val="0"/>
          <w:i/>
          <w:color w:val="auto"/>
          <w:sz w:val="26"/>
          <w:szCs w:val="26"/>
        </w:rPr>
      </w:pPr>
      <w:bookmarkStart w:id="27" w:name="_Toc313471479"/>
      <w:r w:rsidRPr="0091332B">
        <w:rPr>
          <w:rFonts w:ascii="Times New Roman" w:hAnsi="Times New Roman" w:cs="Times New Roman"/>
          <w:b w:val="0"/>
          <w:i/>
          <w:color w:val="auto"/>
          <w:sz w:val="26"/>
          <w:szCs w:val="26"/>
        </w:rPr>
        <w:t xml:space="preserve">4.4.3 </w:t>
      </w:r>
      <w:r w:rsidR="004E3590" w:rsidRPr="0091332B">
        <w:rPr>
          <w:rFonts w:ascii="Times New Roman" w:hAnsi="Times New Roman" w:cs="Times New Roman"/>
          <w:b w:val="0"/>
          <w:i/>
          <w:color w:val="auto"/>
          <w:sz w:val="26"/>
          <w:szCs w:val="26"/>
        </w:rPr>
        <w:t>Une procédure d’arbitrage au langage renouvelé et en apparence revampée, mais loin d’être inédite</w:t>
      </w:r>
      <w:bookmarkEnd w:id="27"/>
    </w:p>
    <w:p w14:paraId="0C5343E3" w14:textId="57AD7F30" w:rsidR="002C5FB8" w:rsidRDefault="002F2FB4" w:rsidP="00BA43F7">
      <w:pPr>
        <w:spacing w:before="120" w:after="120" w:line="360" w:lineRule="auto"/>
        <w:jc w:val="both"/>
        <w:rPr>
          <w:rFonts w:ascii="Times New Roman" w:hAnsi="Times New Roman" w:cs="Times New Roman"/>
        </w:rPr>
      </w:pPr>
      <w:r>
        <w:rPr>
          <w:rFonts w:ascii="Times New Roman" w:hAnsi="Times New Roman" w:cs="Times New Roman"/>
        </w:rPr>
        <w:t>Une fois ces questions procédurales r</w:t>
      </w:r>
      <w:r w:rsidR="001B2E28">
        <w:rPr>
          <w:rFonts w:ascii="Times New Roman" w:hAnsi="Times New Roman" w:cs="Times New Roman"/>
        </w:rPr>
        <w:t>églées</w:t>
      </w:r>
      <w:r>
        <w:rPr>
          <w:rFonts w:ascii="Times New Roman" w:hAnsi="Times New Roman" w:cs="Times New Roman"/>
        </w:rPr>
        <w:t xml:space="preserve"> et les consultations terminées, un investisseur peut finalement avoir accès à l’</w:t>
      </w:r>
      <w:r w:rsidR="00614E46">
        <w:rPr>
          <w:rFonts w:ascii="Times New Roman" w:hAnsi="Times New Roman" w:cs="Times New Roman"/>
        </w:rPr>
        <w:t xml:space="preserve">arbitrage comme tel. Pour ce faire, l’AECG unifie la pratique des États européens et </w:t>
      </w:r>
      <w:r w:rsidR="001B2E28">
        <w:rPr>
          <w:rFonts w:ascii="Times New Roman" w:hAnsi="Times New Roman" w:cs="Times New Roman"/>
        </w:rPr>
        <w:t>offre aux investisseurs étrangers</w:t>
      </w:r>
      <w:r w:rsidR="00614E46">
        <w:rPr>
          <w:rFonts w:ascii="Times New Roman" w:hAnsi="Times New Roman" w:cs="Times New Roman"/>
        </w:rPr>
        <w:t xml:space="preserve"> la possibilité d</w:t>
      </w:r>
      <w:r w:rsidR="001B2E28">
        <w:rPr>
          <w:rFonts w:ascii="Times New Roman" w:hAnsi="Times New Roman" w:cs="Times New Roman"/>
        </w:rPr>
        <w:t>e recourir à</w:t>
      </w:r>
      <w:r w:rsidR="00614E46">
        <w:rPr>
          <w:rFonts w:ascii="Times New Roman" w:hAnsi="Times New Roman" w:cs="Times New Roman"/>
        </w:rPr>
        <w:t xml:space="preserve"> n’importe quel forum généralement utilisé en droit international des investissements : </w:t>
      </w:r>
      <w:r w:rsidR="001B2E28">
        <w:rPr>
          <w:rFonts w:ascii="Times New Roman" w:hAnsi="Times New Roman" w:cs="Times New Roman"/>
        </w:rPr>
        <w:t xml:space="preserve">du </w:t>
      </w:r>
      <w:r w:rsidR="00614E46">
        <w:rPr>
          <w:rFonts w:ascii="Times New Roman" w:hAnsi="Times New Roman" w:cs="Times New Roman"/>
        </w:rPr>
        <w:t xml:space="preserve">CIRDI, </w:t>
      </w:r>
      <w:r w:rsidR="001B2E28">
        <w:rPr>
          <w:rFonts w:ascii="Times New Roman" w:hAnsi="Times New Roman" w:cs="Times New Roman"/>
        </w:rPr>
        <w:t xml:space="preserve">de la CNUDCI et des </w:t>
      </w:r>
      <w:r w:rsidR="00614E46">
        <w:rPr>
          <w:rFonts w:ascii="Times New Roman" w:hAnsi="Times New Roman" w:cs="Times New Roman"/>
        </w:rPr>
        <w:t>tribunaux commerciaux internationaux (</w:t>
      </w:r>
      <w:r w:rsidR="00D0032F">
        <w:rPr>
          <w:rFonts w:ascii="Times New Roman" w:hAnsi="Times New Roman" w:cs="Times New Roman"/>
        </w:rPr>
        <w:t xml:space="preserve">chapitre 10, </w:t>
      </w:r>
      <w:r w:rsidR="00614E46">
        <w:rPr>
          <w:rFonts w:ascii="Times New Roman" w:hAnsi="Times New Roman" w:cs="Times New Roman"/>
        </w:rPr>
        <w:t>art. X.22). Dans sa plus récente proposition de Cour, il est aussi remarquable que la Commission propose d’</w:t>
      </w:r>
      <w:r w:rsidR="001B2E28">
        <w:rPr>
          <w:rFonts w:ascii="Times New Roman" w:hAnsi="Times New Roman" w:cs="Times New Roman"/>
        </w:rPr>
        <w:t xml:space="preserve">utiliser </w:t>
      </w:r>
      <w:r w:rsidR="00614E46">
        <w:rPr>
          <w:rFonts w:ascii="Times New Roman" w:hAnsi="Times New Roman" w:cs="Times New Roman"/>
        </w:rPr>
        <w:t>ample</w:t>
      </w:r>
      <w:r w:rsidR="001B2E28">
        <w:rPr>
          <w:rFonts w:ascii="Times New Roman" w:hAnsi="Times New Roman" w:cs="Times New Roman"/>
        </w:rPr>
        <w:t>ment</w:t>
      </w:r>
      <w:r w:rsidR="00614E46">
        <w:rPr>
          <w:rFonts w:ascii="Times New Roman" w:hAnsi="Times New Roman" w:cs="Times New Roman"/>
        </w:rPr>
        <w:t xml:space="preserve"> ces mêmes forums. Les règles d’arbitrage spécifiquement proposées sont en effet celles du CIRDI ou de la CNUDCI </w:t>
      </w:r>
      <w:r w:rsidR="002C5FB8">
        <w:rPr>
          <w:rFonts w:ascii="Times New Roman" w:hAnsi="Times New Roman" w:cs="Times New Roman"/>
        </w:rPr>
        <w:t>(art. 6). L</w:t>
      </w:r>
      <w:r w:rsidR="00614E46">
        <w:rPr>
          <w:rFonts w:ascii="Times New Roman" w:hAnsi="Times New Roman" w:cs="Times New Roman"/>
        </w:rPr>
        <w:t>a Commission va même jusqu’à proposer d’utiliser le</w:t>
      </w:r>
      <w:r w:rsidR="002C5FB8">
        <w:rPr>
          <w:rFonts w:ascii="Times New Roman" w:hAnsi="Times New Roman" w:cs="Times New Roman"/>
        </w:rPr>
        <w:t>s services du</w:t>
      </w:r>
      <w:r w:rsidR="00614E46">
        <w:rPr>
          <w:rFonts w:ascii="Times New Roman" w:hAnsi="Times New Roman" w:cs="Times New Roman"/>
        </w:rPr>
        <w:t xml:space="preserve"> </w:t>
      </w:r>
      <w:r w:rsidR="002C5FB8">
        <w:rPr>
          <w:rFonts w:ascii="Times New Roman" w:hAnsi="Times New Roman" w:cs="Times New Roman"/>
        </w:rPr>
        <w:t xml:space="preserve">CIRDI ou de </w:t>
      </w:r>
      <w:r w:rsidR="00614E46">
        <w:rPr>
          <w:rFonts w:ascii="Times New Roman" w:hAnsi="Times New Roman" w:cs="Times New Roman"/>
        </w:rPr>
        <w:t xml:space="preserve">la Cour permanente d’arbitrage </w:t>
      </w:r>
      <w:r w:rsidR="002C5FB8">
        <w:rPr>
          <w:rFonts w:ascii="Times New Roman" w:hAnsi="Times New Roman" w:cs="Times New Roman"/>
        </w:rPr>
        <w:t xml:space="preserve">pour établir son secrétariat </w:t>
      </w:r>
      <w:r w:rsidR="00614E46">
        <w:rPr>
          <w:rFonts w:ascii="Times New Roman" w:hAnsi="Times New Roman" w:cs="Times New Roman"/>
        </w:rPr>
        <w:t>(art. 9).</w:t>
      </w:r>
      <w:r w:rsidR="002D5589">
        <w:rPr>
          <w:rFonts w:ascii="Times New Roman" w:hAnsi="Times New Roman" w:cs="Times New Roman"/>
        </w:rPr>
        <w:t xml:space="preserve"> En créant un modèle aussi élaboré, il aurait pu être pensé que la Commission européenne </w:t>
      </w:r>
      <w:r w:rsidR="001B2E28">
        <w:rPr>
          <w:rFonts w:ascii="Times New Roman" w:hAnsi="Times New Roman" w:cs="Times New Roman"/>
        </w:rPr>
        <w:t>créerait</w:t>
      </w:r>
      <w:r w:rsidR="002D5589">
        <w:rPr>
          <w:rFonts w:ascii="Times New Roman" w:hAnsi="Times New Roman" w:cs="Times New Roman"/>
        </w:rPr>
        <w:t xml:space="preserve"> son propre mécanisme, indépendant du CIRDI ou des autres forums, mais il ressort finalement que ces derniers demeurent plus que pertinents.</w:t>
      </w:r>
      <w:r w:rsidR="00614E46">
        <w:rPr>
          <w:rFonts w:ascii="Times New Roman" w:hAnsi="Times New Roman" w:cs="Times New Roman"/>
        </w:rPr>
        <w:t xml:space="preserve"> </w:t>
      </w:r>
      <w:r w:rsidR="00A33A56">
        <w:rPr>
          <w:rFonts w:ascii="Times New Roman" w:hAnsi="Times New Roman" w:cs="Times New Roman"/>
        </w:rPr>
        <w:t xml:space="preserve">Cela aurait été d’autant plus logique que l’Union européenne, en tant qu’organisation internationale, </w:t>
      </w:r>
      <w:r w:rsidR="001B2E28">
        <w:rPr>
          <w:rFonts w:ascii="Times New Roman" w:hAnsi="Times New Roman" w:cs="Times New Roman"/>
        </w:rPr>
        <w:t>ne peut présentement pas utiliser</w:t>
      </w:r>
      <w:r w:rsidR="00A33A56">
        <w:rPr>
          <w:rFonts w:ascii="Times New Roman" w:hAnsi="Times New Roman" w:cs="Times New Roman"/>
        </w:rPr>
        <w:t xml:space="preserve"> les services du CIRDI. </w:t>
      </w:r>
      <w:r w:rsidR="00071DCD">
        <w:rPr>
          <w:rFonts w:ascii="Times New Roman" w:hAnsi="Times New Roman" w:cs="Times New Roman"/>
        </w:rPr>
        <w:t>Ainsi</w:t>
      </w:r>
      <w:r w:rsidR="00091563">
        <w:rPr>
          <w:rFonts w:ascii="Times New Roman" w:hAnsi="Times New Roman" w:cs="Times New Roman"/>
        </w:rPr>
        <w:t>, la</w:t>
      </w:r>
      <w:r w:rsidR="00A33A56">
        <w:rPr>
          <w:rFonts w:ascii="Times New Roman" w:hAnsi="Times New Roman" w:cs="Times New Roman"/>
        </w:rPr>
        <w:t xml:space="preserve"> Commission européenne n’est </w:t>
      </w:r>
      <w:r w:rsidR="00091563">
        <w:rPr>
          <w:rFonts w:ascii="Times New Roman" w:hAnsi="Times New Roman" w:cs="Times New Roman"/>
        </w:rPr>
        <w:t>pas aussi</w:t>
      </w:r>
      <w:r w:rsidR="00A33A56">
        <w:rPr>
          <w:rFonts w:ascii="Times New Roman" w:hAnsi="Times New Roman" w:cs="Times New Roman"/>
        </w:rPr>
        <w:t xml:space="preserve"> novatrice</w:t>
      </w:r>
      <w:r w:rsidR="00091563">
        <w:rPr>
          <w:rFonts w:ascii="Times New Roman" w:hAnsi="Times New Roman" w:cs="Times New Roman"/>
        </w:rPr>
        <w:t xml:space="preserve"> que</w:t>
      </w:r>
      <w:r w:rsidR="00071DCD">
        <w:rPr>
          <w:rFonts w:ascii="Times New Roman" w:hAnsi="Times New Roman" w:cs="Times New Roman"/>
        </w:rPr>
        <w:t xml:space="preserve"> </w:t>
      </w:r>
      <w:r w:rsidR="007B7A56">
        <w:rPr>
          <w:rFonts w:ascii="Times New Roman" w:hAnsi="Times New Roman" w:cs="Times New Roman"/>
        </w:rPr>
        <w:t xml:space="preserve">son </w:t>
      </w:r>
      <w:r w:rsidR="00071DCD">
        <w:rPr>
          <w:rFonts w:ascii="Times New Roman" w:hAnsi="Times New Roman" w:cs="Times New Roman"/>
        </w:rPr>
        <w:t xml:space="preserve">langage associé à une Cour </w:t>
      </w:r>
      <w:r w:rsidR="007B7A56">
        <w:rPr>
          <w:rFonts w:ascii="Times New Roman" w:hAnsi="Times New Roman" w:cs="Times New Roman"/>
        </w:rPr>
        <w:t xml:space="preserve">veut bien </w:t>
      </w:r>
      <w:r w:rsidR="001B2E28">
        <w:rPr>
          <w:rFonts w:ascii="Times New Roman" w:hAnsi="Times New Roman" w:cs="Times New Roman"/>
        </w:rPr>
        <w:t xml:space="preserve">le </w:t>
      </w:r>
      <w:r w:rsidR="007B7A56">
        <w:rPr>
          <w:rFonts w:ascii="Times New Roman" w:hAnsi="Times New Roman" w:cs="Times New Roman"/>
        </w:rPr>
        <w:t>laisser entendre</w:t>
      </w:r>
      <w:r w:rsidR="00091563">
        <w:rPr>
          <w:rFonts w:ascii="Times New Roman" w:hAnsi="Times New Roman" w:cs="Times New Roman"/>
        </w:rPr>
        <w:t xml:space="preserve">. </w:t>
      </w:r>
    </w:p>
    <w:p w14:paraId="03B702F4" w14:textId="02C4D8ED" w:rsidR="00850E94" w:rsidRDefault="002D5589" w:rsidP="00BA43F7">
      <w:pPr>
        <w:spacing w:before="120" w:after="120" w:line="360" w:lineRule="auto"/>
        <w:jc w:val="both"/>
        <w:rPr>
          <w:rFonts w:ascii="Times New Roman" w:hAnsi="Times New Roman" w:cs="Times New Roman"/>
        </w:rPr>
      </w:pPr>
      <w:r>
        <w:rPr>
          <w:rFonts w:ascii="Times New Roman" w:hAnsi="Times New Roman" w:cs="Times New Roman"/>
        </w:rPr>
        <w:t>En fait, l</w:t>
      </w:r>
      <w:r w:rsidR="002C5FB8">
        <w:rPr>
          <w:rFonts w:ascii="Times New Roman" w:hAnsi="Times New Roman" w:cs="Times New Roman"/>
        </w:rPr>
        <w:t xml:space="preserve">es deux </w:t>
      </w:r>
      <w:r w:rsidR="00091563">
        <w:rPr>
          <w:rFonts w:ascii="Times New Roman" w:hAnsi="Times New Roman" w:cs="Times New Roman"/>
        </w:rPr>
        <w:t xml:space="preserve">seuls </w:t>
      </w:r>
      <w:r w:rsidR="002C5FB8">
        <w:rPr>
          <w:rFonts w:ascii="Times New Roman" w:hAnsi="Times New Roman" w:cs="Times New Roman"/>
        </w:rPr>
        <w:t>éléments</w:t>
      </w:r>
      <w:r w:rsidR="00B61E4C">
        <w:rPr>
          <w:rFonts w:ascii="Times New Roman" w:hAnsi="Times New Roman" w:cs="Times New Roman"/>
        </w:rPr>
        <w:t xml:space="preserve"> qui apparaissent </w:t>
      </w:r>
      <w:r w:rsidR="00091563">
        <w:rPr>
          <w:rFonts w:ascii="Times New Roman" w:hAnsi="Times New Roman" w:cs="Times New Roman"/>
        </w:rPr>
        <w:t>réellement</w:t>
      </w:r>
      <w:r w:rsidR="002C5FB8">
        <w:rPr>
          <w:rFonts w:ascii="Times New Roman" w:hAnsi="Times New Roman" w:cs="Times New Roman"/>
        </w:rPr>
        <w:t xml:space="preserve"> nouveaux </w:t>
      </w:r>
      <w:r w:rsidR="00B61E4C">
        <w:rPr>
          <w:rFonts w:ascii="Times New Roman" w:hAnsi="Times New Roman" w:cs="Times New Roman"/>
        </w:rPr>
        <w:t>dans la proposition de créer une Cour son</w:t>
      </w:r>
      <w:r w:rsidR="00595158">
        <w:rPr>
          <w:rFonts w:ascii="Times New Roman" w:hAnsi="Times New Roman" w:cs="Times New Roman"/>
        </w:rPr>
        <w:t xml:space="preserve">t l’établissement d’une liste de juges permanents </w:t>
      </w:r>
      <w:r w:rsidR="00B61E4C">
        <w:rPr>
          <w:rFonts w:ascii="Times New Roman" w:hAnsi="Times New Roman" w:cs="Times New Roman"/>
        </w:rPr>
        <w:t xml:space="preserve">et la création d’une procédure d’appel (art. 9 et 10). Ces deux éléments sont </w:t>
      </w:r>
      <w:r w:rsidR="00091563">
        <w:rPr>
          <w:rFonts w:ascii="Times New Roman" w:hAnsi="Times New Roman" w:cs="Times New Roman"/>
        </w:rPr>
        <w:t xml:space="preserve">par ailleurs </w:t>
      </w:r>
      <w:r w:rsidR="00B61E4C">
        <w:rPr>
          <w:rFonts w:ascii="Times New Roman" w:hAnsi="Times New Roman" w:cs="Times New Roman"/>
        </w:rPr>
        <w:t xml:space="preserve">déjà partiellement </w:t>
      </w:r>
      <w:r w:rsidR="00656517">
        <w:rPr>
          <w:rFonts w:ascii="Times New Roman" w:hAnsi="Times New Roman" w:cs="Times New Roman"/>
        </w:rPr>
        <w:t>présents</w:t>
      </w:r>
      <w:r w:rsidR="00B61E4C">
        <w:rPr>
          <w:rFonts w:ascii="Times New Roman" w:hAnsi="Times New Roman" w:cs="Times New Roman"/>
        </w:rPr>
        <w:t xml:space="preserve"> dans l’AECG qui aspirait aussi à créer une liste d’arbitres</w:t>
      </w:r>
      <w:r w:rsidR="00656517">
        <w:rPr>
          <w:rFonts w:ascii="Times New Roman" w:hAnsi="Times New Roman" w:cs="Times New Roman"/>
        </w:rPr>
        <w:t xml:space="preserve"> (</w:t>
      </w:r>
      <w:r w:rsidR="00D0032F">
        <w:rPr>
          <w:rFonts w:ascii="Times New Roman" w:hAnsi="Times New Roman" w:cs="Times New Roman"/>
        </w:rPr>
        <w:t xml:space="preserve">chapitre 10, </w:t>
      </w:r>
      <w:r w:rsidR="00656517">
        <w:rPr>
          <w:rFonts w:ascii="Times New Roman" w:hAnsi="Times New Roman" w:cs="Times New Roman"/>
        </w:rPr>
        <w:t>art. X.25)</w:t>
      </w:r>
      <w:r w:rsidR="00B61E4C">
        <w:rPr>
          <w:rFonts w:ascii="Times New Roman" w:hAnsi="Times New Roman" w:cs="Times New Roman"/>
        </w:rPr>
        <w:t xml:space="preserve"> et entendait ouvrir des discussions entre les parties sur la création d’une procédure d’appel</w:t>
      </w:r>
      <w:r w:rsidR="00656517">
        <w:rPr>
          <w:rFonts w:ascii="Times New Roman" w:hAnsi="Times New Roman" w:cs="Times New Roman"/>
        </w:rPr>
        <w:t xml:space="preserve"> (</w:t>
      </w:r>
      <w:r w:rsidR="00D0032F">
        <w:rPr>
          <w:rFonts w:ascii="Times New Roman" w:hAnsi="Times New Roman" w:cs="Times New Roman"/>
        </w:rPr>
        <w:t xml:space="preserve">chapitre 10, </w:t>
      </w:r>
      <w:r w:rsidR="00656517">
        <w:rPr>
          <w:rFonts w:ascii="Times New Roman" w:hAnsi="Times New Roman" w:cs="Times New Roman"/>
        </w:rPr>
        <w:t>art. X.42)</w:t>
      </w:r>
      <w:r w:rsidR="00B61E4C">
        <w:rPr>
          <w:rFonts w:ascii="Times New Roman" w:hAnsi="Times New Roman" w:cs="Times New Roman"/>
        </w:rPr>
        <w:t xml:space="preserve">. De plus, quoique nouveau au sein du droit international des investissements, </w:t>
      </w:r>
      <w:r w:rsidR="001220C6">
        <w:rPr>
          <w:rFonts w:ascii="Times New Roman" w:hAnsi="Times New Roman" w:cs="Times New Roman"/>
        </w:rPr>
        <w:t>Colin Brown</w:t>
      </w:r>
      <w:r w:rsidR="006533B0">
        <w:rPr>
          <w:rFonts w:ascii="Times New Roman" w:hAnsi="Times New Roman" w:cs="Times New Roman"/>
        </w:rPr>
        <w:t xml:space="preserve"> et </w:t>
      </w:r>
      <w:proofErr w:type="spellStart"/>
      <w:r w:rsidR="006533B0">
        <w:rPr>
          <w:rFonts w:ascii="Times New Roman" w:hAnsi="Times New Roman" w:cs="Times New Roman"/>
        </w:rPr>
        <w:t>Naglis</w:t>
      </w:r>
      <w:proofErr w:type="spellEnd"/>
      <w:r w:rsidR="006533B0">
        <w:rPr>
          <w:rFonts w:ascii="Times New Roman" w:hAnsi="Times New Roman" w:cs="Times New Roman"/>
        </w:rPr>
        <w:t xml:space="preserve"> soulignent qu’en choisissant d’établir une liste d’arbitres</w:t>
      </w:r>
      <w:r w:rsidR="00595158">
        <w:rPr>
          <w:rFonts w:ascii="Times New Roman" w:hAnsi="Times New Roman" w:cs="Times New Roman"/>
        </w:rPr>
        <w:t xml:space="preserve"> ou de juges</w:t>
      </w:r>
      <w:r w:rsidR="006533B0">
        <w:rPr>
          <w:rFonts w:ascii="Times New Roman" w:hAnsi="Times New Roman" w:cs="Times New Roman"/>
        </w:rPr>
        <w:t xml:space="preserve"> permanents, la Commission poursuit en réalité sa</w:t>
      </w:r>
      <w:r w:rsidR="00595158">
        <w:rPr>
          <w:rFonts w:ascii="Times New Roman" w:hAnsi="Times New Roman" w:cs="Times New Roman"/>
        </w:rPr>
        <w:t xml:space="preserve"> </w:t>
      </w:r>
      <w:r w:rsidR="006533B0">
        <w:rPr>
          <w:rFonts w:ascii="Times New Roman" w:hAnsi="Times New Roman" w:cs="Times New Roman"/>
        </w:rPr>
        <w:t xml:space="preserve">pratique au sein de ses accords de libre-échange (2013 : 27). </w:t>
      </w:r>
      <w:r w:rsidR="006533B0">
        <w:rPr>
          <w:rFonts w:ascii="Times New Roman" w:hAnsi="Times New Roman" w:cs="Times New Roman"/>
        </w:rPr>
        <w:lastRenderedPageBreak/>
        <w:t>Le mécanisme de règlement des différends général de l’accord entre l’Union européenne et la Corée</w:t>
      </w:r>
      <w:r w:rsidR="00595158">
        <w:rPr>
          <w:rFonts w:ascii="Times New Roman" w:hAnsi="Times New Roman" w:cs="Times New Roman"/>
        </w:rPr>
        <w:t xml:space="preserve"> de 2011</w:t>
      </w:r>
      <w:r w:rsidR="006533B0">
        <w:rPr>
          <w:rFonts w:ascii="Times New Roman" w:hAnsi="Times New Roman" w:cs="Times New Roman"/>
        </w:rPr>
        <w:t xml:space="preserve"> prévoit justement </w:t>
      </w:r>
      <w:r w:rsidR="00CA0005">
        <w:rPr>
          <w:rFonts w:ascii="Times New Roman" w:hAnsi="Times New Roman" w:cs="Times New Roman"/>
        </w:rPr>
        <w:t xml:space="preserve">la création d’une liste de 15 arbitres </w:t>
      </w:r>
      <w:r w:rsidR="00C82F62">
        <w:rPr>
          <w:rFonts w:ascii="Times New Roman" w:hAnsi="Times New Roman" w:cs="Times New Roman"/>
        </w:rPr>
        <w:t xml:space="preserve">permanents </w:t>
      </w:r>
      <w:r w:rsidR="00595158">
        <w:rPr>
          <w:rFonts w:ascii="Times New Roman" w:hAnsi="Times New Roman" w:cs="Times New Roman"/>
        </w:rPr>
        <w:t xml:space="preserve">(art. 14.18). </w:t>
      </w:r>
    </w:p>
    <w:p w14:paraId="53E36C55" w14:textId="76216C79" w:rsidR="00595158" w:rsidRDefault="00850E94" w:rsidP="00BA43F7">
      <w:pPr>
        <w:spacing w:before="120" w:after="120" w:line="360" w:lineRule="auto"/>
        <w:jc w:val="both"/>
        <w:rPr>
          <w:rFonts w:ascii="Times New Roman" w:hAnsi="Times New Roman" w:cs="Times New Roman"/>
          <w:lang w:val="fr-FR"/>
        </w:rPr>
      </w:pPr>
      <w:r>
        <w:rPr>
          <w:rFonts w:ascii="Times New Roman" w:hAnsi="Times New Roman" w:cs="Times New Roman"/>
        </w:rPr>
        <w:t>Fait intéressant, l’AECG prévoit qu’à la demande d’un investisseur</w:t>
      </w:r>
      <w:r w:rsidR="00B408E3">
        <w:rPr>
          <w:rFonts w:ascii="Times New Roman" w:hAnsi="Times New Roman" w:cs="Times New Roman"/>
        </w:rPr>
        <w:t>, le tribunal pourrait être composé d’un seul arbitre. L’origine de cet élément nouveau pour la pratique européenne comme canadienne n’a pas pu être déterminé, mais peut refléter une sensibilité envers les petites et moyennes entreprises (PME) étant donné que la procédure d’arbitrage est généralement relativement dispendieuse. De plus, p</w:t>
      </w:r>
      <w:r w:rsidR="00595158">
        <w:rPr>
          <w:rFonts w:ascii="Times New Roman" w:hAnsi="Times New Roman" w:cs="Times New Roman"/>
        </w:rPr>
        <w:t xml:space="preserve">our s’assurer que le mécanisme demeure légitime, l’AECG et la plus récente proposition de Cour </w:t>
      </w:r>
      <w:r w:rsidR="00C82F62">
        <w:rPr>
          <w:rFonts w:ascii="Times New Roman" w:hAnsi="Times New Roman" w:cs="Times New Roman"/>
        </w:rPr>
        <w:t>ajoutent</w:t>
      </w:r>
      <w:r w:rsidR="00595158">
        <w:rPr>
          <w:rFonts w:ascii="Times New Roman" w:hAnsi="Times New Roman" w:cs="Times New Roman"/>
        </w:rPr>
        <w:t xml:space="preserve"> aussi que les arbitres </w:t>
      </w:r>
      <w:r w:rsidR="00C82F62">
        <w:rPr>
          <w:rFonts w:ascii="Times New Roman" w:hAnsi="Times New Roman" w:cs="Times New Roman"/>
        </w:rPr>
        <w:t xml:space="preserve">doivent respecter un certain code d’éthique. Pour retracer l’origine de cette idée, le texte de l’AECG est alors particulièrement éloquent puisqu’il fait littéralement référence au </w:t>
      </w:r>
      <w:r w:rsidR="00C82F62" w:rsidRPr="00C82F62">
        <w:rPr>
          <w:rFonts w:ascii="Times New Roman" w:hAnsi="Times New Roman" w:cs="Times New Roman"/>
          <w:i/>
          <w:lang w:val="fr-FR"/>
        </w:rPr>
        <w:t xml:space="preserve">International Bar Association Guidelines on </w:t>
      </w:r>
      <w:proofErr w:type="spellStart"/>
      <w:r w:rsidR="00C82F62" w:rsidRPr="00C82F62">
        <w:rPr>
          <w:rFonts w:ascii="Times New Roman" w:hAnsi="Times New Roman" w:cs="Times New Roman"/>
          <w:i/>
          <w:lang w:val="fr-FR"/>
        </w:rPr>
        <w:t>Conflicts</w:t>
      </w:r>
      <w:proofErr w:type="spellEnd"/>
      <w:r w:rsidR="00C82F62" w:rsidRPr="00C82F62">
        <w:rPr>
          <w:rFonts w:ascii="Times New Roman" w:hAnsi="Times New Roman" w:cs="Times New Roman"/>
          <w:i/>
          <w:lang w:val="fr-FR"/>
        </w:rPr>
        <w:t xml:space="preserve"> of </w:t>
      </w:r>
      <w:proofErr w:type="spellStart"/>
      <w:r w:rsidR="00C82F62" w:rsidRPr="00C82F62">
        <w:rPr>
          <w:rFonts w:ascii="Times New Roman" w:hAnsi="Times New Roman" w:cs="Times New Roman"/>
          <w:i/>
          <w:lang w:val="fr-FR"/>
        </w:rPr>
        <w:t>Interest</w:t>
      </w:r>
      <w:proofErr w:type="spellEnd"/>
      <w:r w:rsidR="00C82F62" w:rsidRPr="00C82F62">
        <w:rPr>
          <w:rFonts w:ascii="Times New Roman" w:hAnsi="Times New Roman" w:cs="Times New Roman"/>
          <w:i/>
          <w:lang w:val="fr-FR"/>
        </w:rPr>
        <w:t xml:space="preserve"> in International Arbitration</w:t>
      </w:r>
      <w:r w:rsidR="00C82F62">
        <w:rPr>
          <w:rFonts w:ascii="Times New Roman" w:hAnsi="Times New Roman" w:cs="Times New Roman"/>
          <w:lang w:val="fr-FR"/>
        </w:rPr>
        <w:t xml:space="preserve">. </w:t>
      </w:r>
    </w:p>
    <w:p w14:paraId="6033DA67" w14:textId="47843C01" w:rsidR="002F2FB4" w:rsidRDefault="00C82F62" w:rsidP="00BA43F7">
      <w:pPr>
        <w:spacing w:before="120" w:after="120" w:line="360" w:lineRule="auto"/>
        <w:jc w:val="both"/>
        <w:rPr>
          <w:rFonts w:ascii="Times New Roman" w:hAnsi="Times New Roman" w:cs="Times New Roman"/>
          <w:lang w:val="fr-FR"/>
        </w:rPr>
      </w:pPr>
      <w:r>
        <w:rPr>
          <w:rFonts w:ascii="Times New Roman" w:hAnsi="Times New Roman" w:cs="Times New Roman"/>
          <w:lang w:val="fr-FR"/>
        </w:rPr>
        <w:t xml:space="preserve">Quant à la décision de créer une procédure d’appel, Debra </w:t>
      </w:r>
      <w:proofErr w:type="spellStart"/>
      <w:r>
        <w:rPr>
          <w:rFonts w:ascii="Times New Roman" w:hAnsi="Times New Roman" w:cs="Times New Roman"/>
          <w:lang w:val="fr-FR"/>
        </w:rPr>
        <w:t>Steger</w:t>
      </w:r>
      <w:proofErr w:type="spellEnd"/>
      <w:r>
        <w:rPr>
          <w:rFonts w:ascii="Times New Roman" w:hAnsi="Times New Roman" w:cs="Times New Roman"/>
          <w:lang w:val="fr-FR"/>
        </w:rPr>
        <w:t xml:space="preserve"> était </w:t>
      </w:r>
      <w:r w:rsidR="001B2E28">
        <w:rPr>
          <w:rFonts w:ascii="Times New Roman" w:hAnsi="Times New Roman" w:cs="Times New Roman"/>
          <w:lang w:val="fr-FR"/>
        </w:rPr>
        <w:t xml:space="preserve">d’avis qu’elle représentait </w:t>
      </w:r>
      <w:r>
        <w:rPr>
          <w:rFonts w:ascii="Times New Roman" w:hAnsi="Times New Roman" w:cs="Times New Roman"/>
          <w:lang w:val="fr-FR"/>
        </w:rPr>
        <w:t xml:space="preserve">la prochaine étape logique au sein du droit international des investissements (2013 : 263). </w:t>
      </w:r>
      <w:r w:rsidR="00CE7241">
        <w:rPr>
          <w:rFonts w:ascii="Times New Roman" w:hAnsi="Times New Roman" w:cs="Times New Roman"/>
          <w:lang w:val="fr-FR"/>
        </w:rPr>
        <w:t xml:space="preserve">Les États-Unis et le Canada incluent tous les deux depuis quelques années la même disposition que celle présente dans l’AECG qui enjoint les États parties à réfléchir à l’établissement d’une telle procédure afin d’uniformiser les interprétations des tribunaux arbitraux. L’annexe 8-E de l’ALECC et l’annexe 10-D de l’accord entre les États-Unis et le Panama de 2012 en sont deux exemples. </w:t>
      </w:r>
      <w:r w:rsidR="003967AB">
        <w:rPr>
          <w:rFonts w:ascii="Times New Roman" w:hAnsi="Times New Roman" w:cs="Times New Roman"/>
          <w:lang w:val="fr-FR"/>
        </w:rPr>
        <w:t>Le</w:t>
      </w:r>
      <w:r>
        <w:rPr>
          <w:rFonts w:ascii="Times New Roman" w:hAnsi="Times New Roman" w:cs="Times New Roman"/>
          <w:lang w:val="fr-FR"/>
        </w:rPr>
        <w:t xml:space="preserve"> succès de </w:t>
      </w:r>
      <w:r w:rsidR="003967AB">
        <w:rPr>
          <w:rFonts w:ascii="Times New Roman" w:hAnsi="Times New Roman" w:cs="Times New Roman"/>
          <w:lang w:val="fr-FR"/>
        </w:rPr>
        <w:t>l’organe d’appel de l’OMC n’est</w:t>
      </w:r>
      <w:r w:rsidR="00CE7241">
        <w:rPr>
          <w:rFonts w:ascii="Times New Roman" w:hAnsi="Times New Roman" w:cs="Times New Roman"/>
          <w:lang w:val="fr-FR"/>
        </w:rPr>
        <w:t xml:space="preserve"> </w:t>
      </w:r>
      <w:r w:rsidR="003967AB">
        <w:rPr>
          <w:rFonts w:ascii="Times New Roman" w:hAnsi="Times New Roman" w:cs="Times New Roman"/>
          <w:lang w:val="fr-FR"/>
        </w:rPr>
        <w:t xml:space="preserve">évidemment pas étranger </w:t>
      </w:r>
      <w:r w:rsidR="00B408E3">
        <w:rPr>
          <w:rFonts w:ascii="Times New Roman" w:hAnsi="Times New Roman" w:cs="Times New Roman"/>
          <w:lang w:val="fr-FR"/>
        </w:rPr>
        <w:t>à cet</w:t>
      </w:r>
      <w:r>
        <w:rPr>
          <w:rFonts w:ascii="Times New Roman" w:hAnsi="Times New Roman" w:cs="Times New Roman"/>
          <w:lang w:val="fr-FR"/>
        </w:rPr>
        <w:t xml:space="preserve"> </w:t>
      </w:r>
      <w:r w:rsidR="003967AB">
        <w:rPr>
          <w:rFonts w:ascii="Times New Roman" w:hAnsi="Times New Roman" w:cs="Times New Roman"/>
          <w:lang w:val="fr-FR"/>
        </w:rPr>
        <w:t>attrait pour un mécanisme d’appel</w:t>
      </w:r>
      <w:r>
        <w:rPr>
          <w:rFonts w:ascii="Times New Roman" w:hAnsi="Times New Roman" w:cs="Times New Roman"/>
          <w:lang w:val="fr-FR"/>
        </w:rPr>
        <w:t xml:space="preserve"> </w:t>
      </w:r>
      <w:r w:rsidR="009D599A">
        <w:rPr>
          <w:rFonts w:ascii="Times New Roman" w:hAnsi="Times New Roman" w:cs="Times New Roman"/>
          <w:lang w:val="fr-FR"/>
        </w:rPr>
        <w:t xml:space="preserve">et </w:t>
      </w:r>
      <w:r w:rsidR="00CE7241">
        <w:rPr>
          <w:rFonts w:ascii="Times New Roman" w:hAnsi="Times New Roman" w:cs="Times New Roman"/>
          <w:lang w:val="fr-FR"/>
        </w:rPr>
        <w:t xml:space="preserve">est clairement une importante source d’influence. La formulation d’une proposition concrète par la Commission européenne d’une procédure d’appel est donc une première au sein du droit international des investissements, mais </w:t>
      </w:r>
      <w:r w:rsidR="001B2E28">
        <w:rPr>
          <w:rFonts w:ascii="Times New Roman" w:hAnsi="Times New Roman" w:cs="Times New Roman"/>
          <w:lang w:val="fr-FR"/>
        </w:rPr>
        <w:t xml:space="preserve">elle </w:t>
      </w:r>
      <w:r w:rsidR="00CE7241">
        <w:rPr>
          <w:rFonts w:ascii="Times New Roman" w:hAnsi="Times New Roman" w:cs="Times New Roman"/>
          <w:lang w:val="fr-FR"/>
        </w:rPr>
        <w:t xml:space="preserve">suit une réflexion entamée depuis quelques années dans les cercles de professionnels du droit international des investissements. </w:t>
      </w:r>
      <w:r w:rsidR="00B408E3">
        <w:rPr>
          <w:rFonts w:ascii="Times New Roman" w:hAnsi="Times New Roman" w:cs="Times New Roman"/>
          <w:lang w:val="fr-FR"/>
        </w:rPr>
        <w:t xml:space="preserve">La proposition de Cour de la Commission européenne pourrait toutefois ne pas avoir l’effet escompté puisque leur mécanisme d’appel n’aurait aucun impact sur l’uniformité des décisions arbitrales étant donné qu’il ne fonctionnerait qu’en vertu d’un traité bilatéral </w:t>
      </w:r>
      <w:r w:rsidR="004825A9">
        <w:rPr>
          <w:rFonts w:ascii="Times New Roman" w:hAnsi="Times New Roman" w:cs="Times New Roman"/>
          <w:lang w:val="fr-FR"/>
        </w:rPr>
        <w:t>(</w:t>
      </w:r>
      <w:proofErr w:type="spellStart"/>
      <w:r w:rsidR="00FE4EE8">
        <w:rPr>
          <w:rFonts w:ascii="Times New Roman" w:hAnsi="Times New Roman" w:cs="Times New Roman"/>
          <w:lang w:val="fr-FR"/>
        </w:rPr>
        <w:t>Steger</w:t>
      </w:r>
      <w:proofErr w:type="spellEnd"/>
      <w:r w:rsidR="00B408E3">
        <w:rPr>
          <w:rFonts w:ascii="Times New Roman" w:hAnsi="Times New Roman" w:cs="Times New Roman"/>
          <w:lang w:val="fr-FR"/>
        </w:rPr>
        <w:t xml:space="preserve"> </w:t>
      </w:r>
      <w:r w:rsidR="004825A9">
        <w:rPr>
          <w:rFonts w:ascii="Times New Roman" w:hAnsi="Times New Roman" w:cs="Times New Roman"/>
          <w:lang w:val="fr-FR"/>
        </w:rPr>
        <w:t xml:space="preserve">2013 : 258). </w:t>
      </w:r>
    </w:p>
    <w:p w14:paraId="2D2D14FB" w14:textId="55852B15" w:rsidR="00143B28" w:rsidRPr="0091332B" w:rsidRDefault="00143B28" w:rsidP="004F762A">
      <w:pPr>
        <w:pStyle w:val="Titre3"/>
        <w:rPr>
          <w:rFonts w:ascii="Times New Roman" w:hAnsi="Times New Roman" w:cs="Times New Roman"/>
          <w:b w:val="0"/>
          <w:i/>
          <w:color w:val="auto"/>
          <w:sz w:val="26"/>
          <w:szCs w:val="26"/>
          <w:lang w:val="fr-FR"/>
        </w:rPr>
      </w:pPr>
      <w:bookmarkStart w:id="28" w:name="_Toc313471480"/>
      <w:r w:rsidRPr="0091332B">
        <w:rPr>
          <w:rFonts w:ascii="Times New Roman" w:hAnsi="Times New Roman" w:cs="Times New Roman"/>
          <w:b w:val="0"/>
          <w:i/>
          <w:color w:val="auto"/>
          <w:sz w:val="26"/>
          <w:szCs w:val="26"/>
          <w:lang w:val="fr-FR"/>
        </w:rPr>
        <w:t>4.4.4</w:t>
      </w:r>
      <w:r w:rsidR="002C5200" w:rsidRPr="0091332B">
        <w:rPr>
          <w:rFonts w:ascii="Times New Roman" w:hAnsi="Times New Roman" w:cs="Times New Roman"/>
          <w:b w:val="0"/>
          <w:i/>
          <w:color w:val="auto"/>
          <w:sz w:val="26"/>
          <w:szCs w:val="26"/>
          <w:lang w:val="fr-FR"/>
        </w:rPr>
        <w:t xml:space="preserve"> </w:t>
      </w:r>
      <w:r w:rsidR="004F762A" w:rsidRPr="0091332B">
        <w:rPr>
          <w:rFonts w:ascii="Times New Roman" w:hAnsi="Times New Roman" w:cs="Times New Roman"/>
          <w:b w:val="0"/>
          <w:i/>
          <w:color w:val="auto"/>
          <w:sz w:val="26"/>
          <w:szCs w:val="26"/>
          <w:lang w:val="fr-FR"/>
        </w:rPr>
        <w:t>Des règles de transparence dans la continuité des travaux internationaux</w:t>
      </w:r>
      <w:bookmarkEnd w:id="28"/>
      <w:r w:rsidR="004F762A" w:rsidRPr="0091332B">
        <w:rPr>
          <w:rFonts w:ascii="Times New Roman" w:hAnsi="Times New Roman" w:cs="Times New Roman"/>
          <w:b w:val="0"/>
          <w:i/>
          <w:color w:val="auto"/>
          <w:sz w:val="26"/>
          <w:szCs w:val="26"/>
          <w:lang w:val="fr-FR"/>
        </w:rPr>
        <w:t xml:space="preserve"> </w:t>
      </w:r>
    </w:p>
    <w:p w14:paraId="382CC3C4" w14:textId="7065C64F" w:rsidR="00E749F3" w:rsidRDefault="006131F1" w:rsidP="00BA43F7">
      <w:pPr>
        <w:spacing w:before="120" w:after="120" w:line="360" w:lineRule="auto"/>
        <w:jc w:val="both"/>
        <w:rPr>
          <w:rFonts w:ascii="Times New Roman" w:hAnsi="Times New Roman" w:cs="Times New Roman"/>
          <w:lang w:val="fr-FR"/>
        </w:rPr>
      </w:pPr>
      <w:r>
        <w:rPr>
          <w:rFonts w:ascii="Times New Roman" w:hAnsi="Times New Roman" w:cs="Times New Roman"/>
          <w:lang w:val="fr-FR"/>
        </w:rPr>
        <w:t xml:space="preserve">L’association entre l’arbitrage commercial et le droit international des investissements a aussi eu pour conséquence </w:t>
      </w:r>
      <w:r w:rsidR="00E749F3">
        <w:rPr>
          <w:rFonts w:ascii="Times New Roman" w:hAnsi="Times New Roman" w:cs="Times New Roman"/>
          <w:lang w:val="fr-FR"/>
        </w:rPr>
        <w:t>que les procédures comme les décisions des tribunaux sont traditionnellement demeurées secrètes. Alo</w:t>
      </w:r>
      <w:r w:rsidR="007047E5">
        <w:rPr>
          <w:rFonts w:ascii="Times New Roman" w:hAnsi="Times New Roman" w:cs="Times New Roman"/>
          <w:lang w:val="fr-FR"/>
        </w:rPr>
        <w:t xml:space="preserve">rs que les traités européens n’incluaient </w:t>
      </w:r>
      <w:r w:rsidR="00E749F3">
        <w:rPr>
          <w:rFonts w:ascii="Times New Roman" w:hAnsi="Times New Roman" w:cs="Times New Roman"/>
          <w:lang w:val="fr-FR"/>
        </w:rPr>
        <w:t xml:space="preserve">aucune norme sur cette question, </w:t>
      </w:r>
      <w:r w:rsidR="00E749F3">
        <w:rPr>
          <w:rFonts w:ascii="Times New Roman" w:hAnsi="Times New Roman" w:cs="Times New Roman"/>
          <w:lang w:val="fr-FR"/>
        </w:rPr>
        <w:lastRenderedPageBreak/>
        <w:t>la convention CIRDI prévoit que les décisions ne seront publiées que si les deux parties au différe</w:t>
      </w:r>
      <w:r w:rsidR="008C0DD5">
        <w:rPr>
          <w:rFonts w:ascii="Times New Roman" w:hAnsi="Times New Roman" w:cs="Times New Roman"/>
          <w:lang w:val="fr-FR"/>
        </w:rPr>
        <w:t xml:space="preserve">nd </w:t>
      </w:r>
      <w:r>
        <w:rPr>
          <w:rFonts w:ascii="Times New Roman" w:hAnsi="Times New Roman" w:cs="Times New Roman"/>
          <w:lang w:val="fr-FR"/>
        </w:rPr>
        <w:t>y donnent leur accord</w:t>
      </w:r>
      <w:r w:rsidR="008C0DD5">
        <w:rPr>
          <w:rFonts w:ascii="Times New Roman" w:hAnsi="Times New Roman" w:cs="Times New Roman"/>
          <w:lang w:val="fr-FR"/>
        </w:rPr>
        <w:t xml:space="preserve"> (art. 22.2).</w:t>
      </w:r>
      <w:r w:rsidR="00B96F20">
        <w:rPr>
          <w:rFonts w:ascii="Times New Roman" w:hAnsi="Times New Roman" w:cs="Times New Roman"/>
          <w:lang w:val="fr-FR"/>
        </w:rPr>
        <w:t xml:space="preserve"> </w:t>
      </w:r>
      <w:r w:rsidR="00E749F3">
        <w:rPr>
          <w:rFonts w:ascii="Times New Roman" w:hAnsi="Times New Roman" w:cs="Times New Roman"/>
          <w:lang w:val="fr-FR"/>
        </w:rPr>
        <w:t xml:space="preserve">Face à la pression de la société civile, </w:t>
      </w:r>
      <w:r w:rsidR="008C0DD5">
        <w:rPr>
          <w:rFonts w:ascii="Times New Roman" w:hAnsi="Times New Roman" w:cs="Times New Roman"/>
          <w:lang w:val="fr-FR"/>
        </w:rPr>
        <w:t>la Commission européenne se devait bien évidemment de réviser cette politique. Comme le rappelle Calamita, l’Union européenne tient be</w:t>
      </w:r>
      <w:r>
        <w:rPr>
          <w:rFonts w:ascii="Times New Roman" w:hAnsi="Times New Roman" w:cs="Times New Roman"/>
          <w:lang w:val="fr-FR"/>
        </w:rPr>
        <w:t xml:space="preserve">aucoup à son image démocratique. Agir </w:t>
      </w:r>
      <w:r w:rsidR="008C0DD5">
        <w:rPr>
          <w:rFonts w:ascii="Times New Roman" w:hAnsi="Times New Roman" w:cs="Times New Roman"/>
          <w:lang w:val="fr-FR"/>
        </w:rPr>
        <w:t xml:space="preserve">autrement l’aurait amené à rejoindre la Chine </w:t>
      </w:r>
      <w:r w:rsidR="00B73D10">
        <w:rPr>
          <w:rFonts w:ascii="Times New Roman" w:hAnsi="Times New Roman" w:cs="Times New Roman"/>
          <w:lang w:val="fr-FR"/>
        </w:rPr>
        <w:t>parmi</w:t>
      </w:r>
      <w:r w:rsidR="008C0DD5">
        <w:rPr>
          <w:rFonts w:ascii="Times New Roman" w:hAnsi="Times New Roman" w:cs="Times New Roman"/>
          <w:lang w:val="fr-FR"/>
        </w:rPr>
        <w:t xml:space="preserve"> les seuls principaux signataires d’accords sur l’investissement qui continuent à ne pas promouvoir une plus grande transparence (2014 : 647 et 664). </w:t>
      </w:r>
      <w:r w:rsidR="00B73D10">
        <w:rPr>
          <w:rFonts w:ascii="Times New Roman" w:hAnsi="Times New Roman" w:cs="Times New Roman"/>
          <w:lang w:val="fr-FR"/>
        </w:rPr>
        <w:t>Depuis 2002, le seul traité canadien à ne pas faire la promotion de la transparence est d’ailleurs celu</w:t>
      </w:r>
      <w:r w:rsidR="00FE4EE8">
        <w:rPr>
          <w:rFonts w:ascii="Times New Roman" w:hAnsi="Times New Roman" w:cs="Times New Roman"/>
          <w:lang w:val="fr-FR"/>
        </w:rPr>
        <w:t>i signé avec la Chine (Calamita</w:t>
      </w:r>
      <w:r w:rsidR="00B73D10">
        <w:rPr>
          <w:rFonts w:ascii="Times New Roman" w:hAnsi="Times New Roman" w:cs="Times New Roman"/>
          <w:lang w:val="fr-FR"/>
        </w:rPr>
        <w:t xml:space="preserve"> 2014 : 657). </w:t>
      </w:r>
      <w:r w:rsidR="008C0DD5">
        <w:rPr>
          <w:rFonts w:ascii="Times New Roman" w:hAnsi="Times New Roman" w:cs="Times New Roman"/>
          <w:lang w:val="fr-FR"/>
        </w:rPr>
        <w:t xml:space="preserve">La majorité des États africains, asiatiques et d’Amérique du Sud </w:t>
      </w:r>
      <w:r>
        <w:rPr>
          <w:rFonts w:ascii="Times New Roman" w:hAnsi="Times New Roman" w:cs="Times New Roman"/>
          <w:lang w:val="fr-FR"/>
        </w:rPr>
        <w:t>adoptent en effet la pratique des pays nord-américains</w:t>
      </w:r>
      <w:r w:rsidR="008C0DD5">
        <w:rPr>
          <w:rFonts w:ascii="Times New Roman" w:hAnsi="Times New Roman" w:cs="Times New Roman"/>
          <w:lang w:val="fr-FR"/>
        </w:rPr>
        <w:t xml:space="preserve"> </w:t>
      </w:r>
      <w:r>
        <w:rPr>
          <w:rFonts w:ascii="Times New Roman" w:hAnsi="Times New Roman" w:cs="Times New Roman"/>
          <w:lang w:val="fr-FR"/>
        </w:rPr>
        <w:t>qui sont progressivement devenus</w:t>
      </w:r>
      <w:r w:rsidR="000A1C3F">
        <w:rPr>
          <w:rFonts w:ascii="Times New Roman" w:hAnsi="Times New Roman" w:cs="Times New Roman"/>
          <w:lang w:val="fr-FR"/>
        </w:rPr>
        <w:t xml:space="preserve"> de plus en plus transparents</w:t>
      </w:r>
      <w:r w:rsidR="00B73D10">
        <w:rPr>
          <w:rFonts w:ascii="Times New Roman" w:hAnsi="Times New Roman" w:cs="Times New Roman"/>
          <w:lang w:val="fr-FR"/>
        </w:rPr>
        <w:t xml:space="preserve"> au cours de la mise en œuvre de l’ALENA</w:t>
      </w:r>
      <w:r w:rsidR="00FE4EE8">
        <w:rPr>
          <w:rFonts w:ascii="Times New Roman" w:hAnsi="Times New Roman" w:cs="Times New Roman"/>
          <w:lang w:val="fr-FR"/>
        </w:rPr>
        <w:t xml:space="preserve"> (Calamita</w:t>
      </w:r>
      <w:r w:rsidR="000A1C3F">
        <w:rPr>
          <w:rFonts w:ascii="Times New Roman" w:hAnsi="Times New Roman" w:cs="Times New Roman"/>
          <w:lang w:val="fr-FR"/>
        </w:rPr>
        <w:t xml:space="preserve"> 2014 : 655 – 663). </w:t>
      </w:r>
    </w:p>
    <w:p w14:paraId="53B543DE" w14:textId="54C2A451" w:rsidR="00B73D10" w:rsidRDefault="00B73D10" w:rsidP="00BA43F7">
      <w:pPr>
        <w:spacing w:before="120" w:after="120" w:line="360" w:lineRule="auto"/>
        <w:jc w:val="both"/>
        <w:rPr>
          <w:rFonts w:ascii="Times New Roman" w:hAnsi="Times New Roman" w:cs="Times New Roman"/>
          <w:lang w:val="fr-FR"/>
        </w:rPr>
      </w:pPr>
      <w:r>
        <w:rPr>
          <w:rFonts w:ascii="Times New Roman" w:hAnsi="Times New Roman" w:cs="Times New Roman"/>
          <w:lang w:val="fr-FR"/>
        </w:rPr>
        <w:t>Même si le Canada et les États-Unis ont effectivement été des pionniers sur la question de la transparence, il ne peut encore une fois être simplement affirmé que l’Union européenne les a imité</w:t>
      </w:r>
      <w:r w:rsidR="00B96F20">
        <w:rPr>
          <w:rFonts w:ascii="Times New Roman" w:hAnsi="Times New Roman" w:cs="Times New Roman"/>
          <w:lang w:val="fr-FR"/>
        </w:rPr>
        <w:t>s</w:t>
      </w:r>
      <w:r>
        <w:rPr>
          <w:rFonts w:ascii="Times New Roman" w:hAnsi="Times New Roman" w:cs="Times New Roman"/>
          <w:lang w:val="fr-FR"/>
        </w:rPr>
        <w:t>. En</w:t>
      </w:r>
      <w:r w:rsidR="00B96F20">
        <w:rPr>
          <w:rFonts w:ascii="Times New Roman" w:hAnsi="Times New Roman" w:cs="Times New Roman"/>
          <w:lang w:val="fr-FR"/>
        </w:rPr>
        <w:t xml:space="preserve"> fait, il est particulièrement intéressant de noter que l’AECG fait spécifiquement référence aux nouvelles règles sur la transparence de la CNUDCI (</w:t>
      </w:r>
      <w:r w:rsidR="00D0032F">
        <w:rPr>
          <w:rFonts w:ascii="Times New Roman" w:hAnsi="Times New Roman" w:cs="Times New Roman"/>
        </w:rPr>
        <w:t xml:space="preserve">chapitre 10, </w:t>
      </w:r>
      <w:r w:rsidR="00B96F20">
        <w:rPr>
          <w:rFonts w:ascii="Times New Roman" w:hAnsi="Times New Roman" w:cs="Times New Roman"/>
          <w:lang w:val="fr-FR"/>
        </w:rPr>
        <w:t>art. X.33)</w:t>
      </w:r>
      <w:r w:rsidR="00BF66ED">
        <w:rPr>
          <w:rFonts w:ascii="Times New Roman" w:hAnsi="Times New Roman" w:cs="Times New Roman"/>
          <w:lang w:val="fr-FR"/>
        </w:rPr>
        <w:t xml:space="preserve"> et la proposition de Cour reprend sensiblement les mêmes règles</w:t>
      </w:r>
      <w:r w:rsidR="00B96F20">
        <w:rPr>
          <w:rFonts w:ascii="Times New Roman" w:hAnsi="Times New Roman" w:cs="Times New Roman"/>
          <w:lang w:val="fr-FR"/>
        </w:rPr>
        <w:t xml:space="preserve">. </w:t>
      </w:r>
      <w:r w:rsidR="00BF66ED">
        <w:rPr>
          <w:rFonts w:ascii="Times New Roman" w:hAnsi="Times New Roman" w:cs="Times New Roman"/>
          <w:lang w:val="fr-FR"/>
        </w:rPr>
        <w:t>Calamita souligne que ce choix apparaît comme audacieux puisque lors de leurs</w:t>
      </w:r>
      <w:r w:rsidR="00B96F20">
        <w:rPr>
          <w:rFonts w:ascii="Times New Roman" w:hAnsi="Times New Roman" w:cs="Times New Roman"/>
          <w:lang w:val="fr-FR"/>
        </w:rPr>
        <w:t xml:space="preserve"> négociation</w:t>
      </w:r>
      <w:r w:rsidR="00BF66ED">
        <w:rPr>
          <w:rFonts w:ascii="Times New Roman" w:hAnsi="Times New Roman" w:cs="Times New Roman"/>
          <w:lang w:val="fr-FR"/>
        </w:rPr>
        <w:t>s</w:t>
      </w:r>
      <w:r w:rsidR="00B96F20">
        <w:rPr>
          <w:rFonts w:ascii="Times New Roman" w:hAnsi="Times New Roman" w:cs="Times New Roman"/>
          <w:lang w:val="fr-FR"/>
        </w:rPr>
        <w:t>, aucun État membre de l’Union européenne n’avait déposé une proposition favorable à plus de transparence</w:t>
      </w:r>
      <w:r w:rsidR="00BF66ED">
        <w:rPr>
          <w:rFonts w:ascii="Times New Roman" w:hAnsi="Times New Roman" w:cs="Times New Roman"/>
          <w:lang w:val="fr-FR"/>
        </w:rPr>
        <w:t xml:space="preserve"> </w:t>
      </w:r>
      <w:r w:rsidR="00B96F20">
        <w:rPr>
          <w:rFonts w:ascii="Times New Roman" w:hAnsi="Times New Roman" w:cs="Times New Roman"/>
          <w:lang w:val="fr-FR"/>
        </w:rPr>
        <w:t xml:space="preserve"> (2014 : 672</w:t>
      </w:r>
      <w:r w:rsidR="00BF66ED">
        <w:rPr>
          <w:rFonts w:ascii="Times New Roman" w:hAnsi="Times New Roman" w:cs="Times New Roman"/>
          <w:lang w:val="fr-FR"/>
        </w:rPr>
        <w:t xml:space="preserve"> – 673). Cette décision s’explique néanmoins de plusieurs façons. </w:t>
      </w:r>
      <w:r w:rsidR="00B96F20">
        <w:rPr>
          <w:rFonts w:ascii="Times New Roman" w:hAnsi="Times New Roman" w:cs="Times New Roman"/>
          <w:lang w:val="fr-FR"/>
        </w:rPr>
        <w:t xml:space="preserve">Brown et </w:t>
      </w:r>
      <w:proofErr w:type="spellStart"/>
      <w:r w:rsidR="00B96F20">
        <w:rPr>
          <w:rFonts w:ascii="Times New Roman" w:hAnsi="Times New Roman" w:cs="Times New Roman"/>
          <w:lang w:val="fr-FR"/>
        </w:rPr>
        <w:t>Naglis</w:t>
      </w:r>
      <w:proofErr w:type="spellEnd"/>
      <w:r w:rsidR="00BF66ED">
        <w:rPr>
          <w:rFonts w:ascii="Times New Roman" w:hAnsi="Times New Roman" w:cs="Times New Roman"/>
          <w:lang w:val="fr-FR"/>
        </w:rPr>
        <w:t xml:space="preserve"> soulignent qu’en faisant référence à la CNUDCI, un organe de l’ONU, la Commission européenne vient donner une certaine aura de légitimité au mécanisme d’arbitrage investisseur – État récemment fortement </w:t>
      </w:r>
      <w:r w:rsidR="003A012D">
        <w:rPr>
          <w:rFonts w:ascii="Times New Roman" w:hAnsi="Times New Roman" w:cs="Times New Roman"/>
          <w:lang w:val="fr-FR"/>
        </w:rPr>
        <w:t>décrié (2013 : 29). De plus,</w:t>
      </w:r>
      <w:r w:rsidR="00BF66ED">
        <w:rPr>
          <w:rFonts w:ascii="Times New Roman" w:hAnsi="Times New Roman" w:cs="Times New Roman"/>
          <w:lang w:val="fr-FR"/>
        </w:rPr>
        <w:t xml:space="preserve"> reje</w:t>
      </w:r>
      <w:r w:rsidR="00FE4EE8">
        <w:rPr>
          <w:rFonts w:ascii="Times New Roman" w:hAnsi="Times New Roman" w:cs="Times New Roman"/>
          <w:lang w:val="fr-FR"/>
        </w:rPr>
        <w:t>ter</w:t>
      </w:r>
      <w:r w:rsidR="003A012D">
        <w:rPr>
          <w:rFonts w:ascii="Times New Roman" w:hAnsi="Times New Roman" w:cs="Times New Roman"/>
          <w:lang w:val="fr-FR"/>
        </w:rPr>
        <w:t xml:space="preserve"> ces nouvelles règles sur la transparence</w:t>
      </w:r>
      <w:r w:rsidR="00FE4EE8">
        <w:rPr>
          <w:rFonts w:ascii="Times New Roman" w:hAnsi="Times New Roman" w:cs="Times New Roman"/>
          <w:lang w:val="fr-FR"/>
        </w:rPr>
        <w:t xml:space="preserve"> aurait envoyé</w:t>
      </w:r>
      <w:r w:rsidR="003A012D">
        <w:rPr>
          <w:rFonts w:ascii="Times New Roman" w:hAnsi="Times New Roman" w:cs="Times New Roman"/>
          <w:lang w:val="fr-FR"/>
        </w:rPr>
        <w:t xml:space="preserve"> un signal</w:t>
      </w:r>
      <w:r w:rsidR="00BF66ED">
        <w:rPr>
          <w:rFonts w:ascii="Times New Roman" w:hAnsi="Times New Roman" w:cs="Times New Roman"/>
          <w:lang w:val="fr-FR"/>
        </w:rPr>
        <w:t xml:space="preserve"> étrange puisque </w:t>
      </w:r>
      <w:r w:rsidR="00E01B2A">
        <w:rPr>
          <w:rFonts w:ascii="Times New Roman" w:hAnsi="Times New Roman" w:cs="Times New Roman"/>
          <w:lang w:val="fr-FR"/>
        </w:rPr>
        <w:t>la Commission européenne avait participé à les négocier</w:t>
      </w:r>
      <w:r w:rsidR="003A012D">
        <w:rPr>
          <w:rFonts w:ascii="Times New Roman" w:hAnsi="Times New Roman" w:cs="Times New Roman"/>
          <w:lang w:val="fr-FR"/>
        </w:rPr>
        <w:t xml:space="preserve"> (Brown et </w:t>
      </w:r>
      <w:proofErr w:type="spellStart"/>
      <w:r w:rsidR="003A012D">
        <w:rPr>
          <w:rFonts w:ascii="Times New Roman" w:hAnsi="Times New Roman" w:cs="Times New Roman"/>
          <w:lang w:val="fr-FR"/>
        </w:rPr>
        <w:t>Naglis</w:t>
      </w:r>
      <w:proofErr w:type="spellEnd"/>
      <w:r w:rsidR="003A012D">
        <w:rPr>
          <w:rFonts w:ascii="Times New Roman" w:hAnsi="Times New Roman" w:cs="Times New Roman"/>
          <w:lang w:val="fr-FR"/>
        </w:rPr>
        <w:t xml:space="preserve"> 2013 : 29). Leur inclusion peut au contraire refléter une</w:t>
      </w:r>
      <w:r w:rsidR="00E01B2A">
        <w:rPr>
          <w:rFonts w:ascii="Times New Roman" w:hAnsi="Times New Roman" w:cs="Times New Roman"/>
          <w:lang w:val="fr-FR"/>
        </w:rPr>
        <w:t xml:space="preserve"> stratégie visant à les promouvoir afin que d’au</w:t>
      </w:r>
      <w:r w:rsidR="00FE4EE8">
        <w:rPr>
          <w:rFonts w:ascii="Times New Roman" w:hAnsi="Times New Roman" w:cs="Times New Roman"/>
          <w:lang w:val="fr-FR"/>
        </w:rPr>
        <w:t>tres États les adoptent</w:t>
      </w:r>
      <w:r w:rsidR="00E01B2A">
        <w:rPr>
          <w:rFonts w:ascii="Times New Roman" w:hAnsi="Times New Roman" w:cs="Times New Roman"/>
          <w:lang w:val="fr-FR"/>
        </w:rPr>
        <w:t xml:space="preserve">. Calamita rappelle finalement que la Commission européenne se devait de respecter la demande du Parlement européen pour un système plus transparent puisque ce dernier doit maintenant approuver les traités qu’elle négocie (2014 : 674). </w:t>
      </w:r>
    </w:p>
    <w:p w14:paraId="59FC2094" w14:textId="21E3DB3E" w:rsidR="004F762A" w:rsidRPr="0091332B" w:rsidRDefault="004F762A" w:rsidP="004E3590">
      <w:pPr>
        <w:pStyle w:val="Titre3"/>
        <w:rPr>
          <w:rFonts w:ascii="Times New Roman" w:hAnsi="Times New Roman" w:cs="Times New Roman"/>
          <w:b w:val="0"/>
          <w:i/>
          <w:color w:val="auto"/>
          <w:sz w:val="26"/>
          <w:szCs w:val="26"/>
          <w:lang w:val="fr-FR"/>
        </w:rPr>
      </w:pPr>
      <w:bookmarkStart w:id="29" w:name="_Toc313471481"/>
      <w:r w:rsidRPr="0091332B">
        <w:rPr>
          <w:rFonts w:ascii="Times New Roman" w:hAnsi="Times New Roman" w:cs="Times New Roman"/>
          <w:b w:val="0"/>
          <w:i/>
          <w:color w:val="auto"/>
          <w:sz w:val="26"/>
          <w:szCs w:val="26"/>
          <w:lang w:val="fr-FR"/>
        </w:rPr>
        <w:t xml:space="preserve">4.4.5 </w:t>
      </w:r>
      <w:r w:rsidR="004E3590" w:rsidRPr="0091332B">
        <w:rPr>
          <w:rFonts w:ascii="Times New Roman" w:hAnsi="Times New Roman" w:cs="Times New Roman"/>
          <w:b w:val="0"/>
          <w:i/>
          <w:color w:val="auto"/>
          <w:sz w:val="26"/>
          <w:szCs w:val="26"/>
          <w:lang w:val="fr-FR"/>
        </w:rPr>
        <w:t>Une réparation similaire pour de nouvelles raisons</w:t>
      </w:r>
      <w:bookmarkEnd w:id="29"/>
    </w:p>
    <w:p w14:paraId="646AAB85" w14:textId="239F648F" w:rsidR="002D5589" w:rsidRDefault="003967AB" w:rsidP="00BA43F7">
      <w:pPr>
        <w:spacing w:before="120" w:after="120" w:line="360" w:lineRule="auto"/>
        <w:jc w:val="both"/>
        <w:rPr>
          <w:rFonts w:ascii="Times New Roman" w:hAnsi="Times New Roman" w:cs="Times New Roman"/>
          <w:lang w:val="fr-FR"/>
        </w:rPr>
      </w:pPr>
      <w:r>
        <w:rPr>
          <w:rFonts w:ascii="Times New Roman" w:hAnsi="Times New Roman" w:cs="Times New Roman"/>
          <w:lang w:val="fr-FR"/>
        </w:rPr>
        <w:t xml:space="preserve">Une fois la procédure d’arbitrage terminée, le modèle d’accord comprend finalement plusieurs </w:t>
      </w:r>
      <w:r w:rsidR="005400A3">
        <w:rPr>
          <w:rFonts w:ascii="Times New Roman" w:hAnsi="Times New Roman" w:cs="Times New Roman"/>
          <w:lang w:val="fr-FR"/>
        </w:rPr>
        <w:t>éléments importants</w:t>
      </w:r>
      <w:r w:rsidR="00A57B20">
        <w:rPr>
          <w:rFonts w:ascii="Times New Roman" w:hAnsi="Times New Roman" w:cs="Times New Roman"/>
          <w:lang w:val="fr-FR"/>
        </w:rPr>
        <w:t xml:space="preserve"> à</w:t>
      </w:r>
      <w:r w:rsidR="00796C04">
        <w:rPr>
          <w:rFonts w:ascii="Times New Roman" w:hAnsi="Times New Roman" w:cs="Times New Roman"/>
          <w:lang w:val="fr-FR"/>
        </w:rPr>
        <w:t xml:space="preserve"> souligner. Premièrement, il est précisé, comme dans l’ALENA, qu’un tribunal peut uniquement obliger un État à offrir une compensation financière à un investisseur </w:t>
      </w:r>
      <w:r w:rsidR="00796C04">
        <w:rPr>
          <w:rFonts w:ascii="Times New Roman" w:hAnsi="Times New Roman" w:cs="Times New Roman"/>
          <w:lang w:val="fr-FR"/>
        </w:rPr>
        <w:lastRenderedPageBreak/>
        <w:t xml:space="preserve">lésé. La restitution de la propriété est effectivement envisagée, mais un État a toujours le loisir de </w:t>
      </w:r>
      <w:proofErr w:type="spellStart"/>
      <w:r w:rsidR="00796C04">
        <w:rPr>
          <w:rFonts w:ascii="Times New Roman" w:hAnsi="Times New Roman" w:cs="Times New Roman"/>
          <w:lang w:val="fr-FR"/>
        </w:rPr>
        <w:t>de</w:t>
      </w:r>
      <w:proofErr w:type="spellEnd"/>
      <w:r w:rsidR="00796C04">
        <w:rPr>
          <w:rFonts w:ascii="Times New Roman" w:hAnsi="Times New Roman" w:cs="Times New Roman"/>
          <w:lang w:val="fr-FR"/>
        </w:rPr>
        <w:t xml:space="preserve"> préférer offrir une compensation juste. </w:t>
      </w:r>
      <w:proofErr w:type="spellStart"/>
      <w:r w:rsidR="00796C04">
        <w:rPr>
          <w:rFonts w:ascii="Times New Roman" w:hAnsi="Times New Roman" w:cs="Times New Roman"/>
          <w:lang w:val="fr-FR"/>
        </w:rPr>
        <w:t>Hoffmeister</w:t>
      </w:r>
      <w:proofErr w:type="spellEnd"/>
      <w:r w:rsidR="00796C04">
        <w:rPr>
          <w:rFonts w:ascii="Times New Roman" w:hAnsi="Times New Roman" w:cs="Times New Roman"/>
          <w:lang w:val="fr-FR"/>
        </w:rPr>
        <w:t xml:space="preserve"> et </w:t>
      </w:r>
      <w:proofErr w:type="spellStart"/>
      <w:r w:rsidR="00796C04">
        <w:rPr>
          <w:rFonts w:ascii="Times New Roman" w:hAnsi="Times New Roman" w:cs="Times New Roman"/>
          <w:lang w:val="fr-FR"/>
        </w:rPr>
        <w:t>Alexandru</w:t>
      </w:r>
      <w:proofErr w:type="spellEnd"/>
      <w:r w:rsidR="00796C04">
        <w:rPr>
          <w:rFonts w:ascii="Times New Roman" w:hAnsi="Times New Roman" w:cs="Times New Roman"/>
          <w:lang w:val="fr-FR"/>
        </w:rPr>
        <w:t xml:space="preserve"> soulignent à juste titre que cette affirmation tombe sous le sens puisqu’un tribunal ne pourrait pas forcer un État à abroger </w:t>
      </w:r>
      <w:r w:rsidR="00670A56">
        <w:rPr>
          <w:rFonts w:ascii="Times New Roman" w:hAnsi="Times New Roman" w:cs="Times New Roman"/>
          <w:lang w:val="fr-FR"/>
        </w:rPr>
        <w:t xml:space="preserve">ou abandonner </w:t>
      </w:r>
      <w:r w:rsidR="00796C04">
        <w:rPr>
          <w:rFonts w:ascii="Times New Roman" w:hAnsi="Times New Roman" w:cs="Times New Roman"/>
          <w:lang w:val="fr-FR"/>
        </w:rPr>
        <w:t>l’une de ses politiques, nota</w:t>
      </w:r>
      <w:r w:rsidR="0002616F">
        <w:rPr>
          <w:rFonts w:ascii="Times New Roman" w:hAnsi="Times New Roman" w:cs="Times New Roman"/>
          <w:lang w:val="fr-FR"/>
        </w:rPr>
        <w:t>mment en vertu du principe de</w:t>
      </w:r>
      <w:r w:rsidR="00796C04">
        <w:rPr>
          <w:rFonts w:ascii="Times New Roman" w:hAnsi="Times New Roman" w:cs="Times New Roman"/>
          <w:lang w:val="fr-FR"/>
        </w:rPr>
        <w:t xml:space="preserve"> </w:t>
      </w:r>
      <w:r w:rsidR="00670A56">
        <w:rPr>
          <w:rFonts w:ascii="Times New Roman" w:hAnsi="Times New Roman" w:cs="Times New Roman"/>
          <w:lang w:val="fr-FR"/>
        </w:rPr>
        <w:t xml:space="preserve">la </w:t>
      </w:r>
      <w:r w:rsidR="00796C04">
        <w:rPr>
          <w:rFonts w:ascii="Times New Roman" w:hAnsi="Times New Roman" w:cs="Times New Roman"/>
          <w:lang w:val="fr-FR"/>
        </w:rPr>
        <w:t>souveraineté</w:t>
      </w:r>
      <w:r w:rsidR="00670A56">
        <w:rPr>
          <w:rFonts w:ascii="Times New Roman" w:hAnsi="Times New Roman" w:cs="Times New Roman"/>
          <w:lang w:val="fr-FR"/>
        </w:rPr>
        <w:t xml:space="preserve"> étatique</w:t>
      </w:r>
      <w:r w:rsidR="00796C04">
        <w:rPr>
          <w:rFonts w:ascii="Times New Roman" w:hAnsi="Times New Roman" w:cs="Times New Roman"/>
          <w:lang w:val="fr-FR"/>
        </w:rPr>
        <w:t xml:space="preserve"> (2014 : 400). Dans le cas de l’Union européenne, il faut cependant ajouter</w:t>
      </w:r>
      <w:r w:rsidR="0002616F">
        <w:rPr>
          <w:rFonts w:ascii="Times New Roman" w:hAnsi="Times New Roman" w:cs="Times New Roman"/>
          <w:lang w:val="fr-FR"/>
        </w:rPr>
        <w:t xml:space="preserve"> que cela est aussi essentiel afin de préserver la fameuse « autonomie du droit européen ». Un tribunal arbitral ne pourrait en effet avoir le pouvoir de forcer un la Commission européenne ou un État membre à abroger une mesure adoptée en vertu du droit européen, sans risquer d’entrer en conflit avec le monopole de la CJE sur l’interprét</w:t>
      </w:r>
      <w:r w:rsidR="00FE4EE8">
        <w:rPr>
          <w:rFonts w:ascii="Times New Roman" w:hAnsi="Times New Roman" w:cs="Times New Roman"/>
          <w:lang w:val="fr-FR"/>
        </w:rPr>
        <w:t>ation du droit européen (</w:t>
      </w:r>
      <w:proofErr w:type="spellStart"/>
      <w:r w:rsidR="00FE4EE8">
        <w:rPr>
          <w:rFonts w:ascii="Times New Roman" w:hAnsi="Times New Roman" w:cs="Times New Roman"/>
          <w:lang w:val="fr-FR"/>
        </w:rPr>
        <w:t>Schill</w:t>
      </w:r>
      <w:proofErr w:type="spellEnd"/>
      <w:r w:rsidR="0002616F">
        <w:rPr>
          <w:rFonts w:ascii="Times New Roman" w:hAnsi="Times New Roman" w:cs="Times New Roman"/>
          <w:lang w:val="fr-FR"/>
        </w:rPr>
        <w:t xml:space="preserve"> 2013 : 50). Les coûts de l’arbitrage doivent par ailleurs être assumés par la partie perdante. Selon les propres dires de la Commission, l’inclusion de cette nouvelle disposition, absente de la pratique canadienne, a pour but de limiter le dépôt de plaintes frivoles (2013 : 8). C’est toutefois une pure et simple reprise de l’article 42 des règles d’arbitrage de la CNUDCI.</w:t>
      </w:r>
    </w:p>
    <w:p w14:paraId="4016B4C3" w14:textId="5A7F3E41" w:rsidR="00670A56" w:rsidRDefault="00670A56" w:rsidP="00BA43F7">
      <w:pPr>
        <w:spacing w:before="120" w:after="120" w:line="360" w:lineRule="auto"/>
        <w:jc w:val="both"/>
        <w:rPr>
          <w:rFonts w:ascii="Times New Roman" w:hAnsi="Times New Roman" w:cs="Times New Roman"/>
          <w:lang w:val="fr-FR"/>
        </w:rPr>
      </w:pPr>
      <w:r>
        <w:rPr>
          <w:rFonts w:ascii="Times New Roman" w:hAnsi="Times New Roman" w:cs="Times New Roman"/>
          <w:lang w:val="fr-FR"/>
        </w:rPr>
        <w:t xml:space="preserve">Ces dernières remarques viennent ainsi conclure l’analyse du modèle d’accord sur l’investissement que la Commission européenne a progressivement développé depuis l’entrée en vigueur du Traité de Lisbonne en 2008. Tel qu’il l’avait été envisagé au tout début, il ressort très clairement que si l’approche est nouvelle et parfois audacieuse </w:t>
      </w:r>
      <w:r w:rsidR="000C244E">
        <w:rPr>
          <w:rFonts w:ascii="Times New Roman" w:hAnsi="Times New Roman" w:cs="Times New Roman"/>
          <w:lang w:val="fr-FR"/>
        </w:rPr>
        <w:t xml:space="preserve">pour les </w:t>
      </w:r>
      <w:r>
        <w:rPr>
          <w:rFonts w:ascii="Times New Roman" w:hAnsi="Times New Roman" w:cs="Times New Roman"/>
          <w:lang w:val="fr-FR"/>
        </w:rPr>
        <w:t xml:space="preserve">États européens, </w:t>
      </w:r>
      <w:r w:rsidR="000C244E">
        <w:rPr>
          <w:rFonts w:ascii="Times New Roman" w:hAnsi="Times New Roman" w:cs="Times New Roman"/>
          <w:lang w:val="fr-FR"/>
        </w:rPr>
        <w:t xml:space="preserve">elle imite et poursuit de précédents développements au sein du régime des investissements. Des stratégies interinstitutionnelles apparaissent aussi lorsqu’on observe les diverses actions qu’a menées ou que mènent la Commission européenne. En somme, pour comprendre l’évolution du modèle européen, il est impossible de </w:t>
      </w:r>
      <w:r w:rsidR="005400A3">
        <w:rPr>
          <w:rFonts w:ascii="Times New Roman" w:hAnsi="Times New Roman" w:cs="Times New Roman"/>
          <w:lang w:val="fr-FR"/>
        </w:rPr>
        <w:t>faire abstraction</w:t>
      </w:r>
      <w:r w:rsidR="000C244E">
        <w:rPr>
          <w:rFonts w:ascii="Times New Roman" w:hAnsi="Times New Roman" w:cs="Times New Roman"/>
          <w:lang w:val="fr-FR"/>
        </w:rPr>
        <w:t xml:space="preserve"> du complexe d’institutions qu</w:t>
      </w:r>
      <w:r w:rsidR="00D33340">
        <w:rPr>
          <w:rFonts w:ascii="Times New Roman" w:hAnsi="Times New Roman" w:cs="Times New Roman"/>
          <w:lang w:val="fr-FR"/>
        </w:rPr>
        <w:t>i l’entoure</w:t>
      </w:r>
      <w:r w:rsidR="000C244E">
        <w:rPr>
          <w:rFonts w:ascii="Times New Roman" w:hAnsi="Times New Roman" w:cs="Times New Roman"/>
          <w:lang w:val="fr-FR"/>
        </w:rPr>
        <w:t>.</w:t>
      </w:r>
    </w:p>
    <w:p w14:paraId="7B356777" w14:textId="646F94A7" w:rsidR="00E01B2A" w:rsidRPr="0091332B" w:rsidRDefault="00C70B6E" w:rsidP="0091332B">
      <w:pPr>
        <w:pStyle w:val="Titre1"/>
        <w:spacing w:before="120" w:after="120"/>
        <w:jc w:val="both"/>
        <w:rPr>
          <w:rFonts w:ascii="Times New Roman" w:hAnsi="Times New Roman" w:cs="Times New Roman"/>
          <w:b/>
          <w:color w:val="auto"/>
          <w:sz w:val="28"/>
          <w:lang w:val="fr-FR"/>
        </w:rPr>
      </w:pPr>
      <w:bookmarkStart w:id="30" w:name="_Toc313471482"/>
      <w:r w:rsidRPr="0091332B">
        <w:rPr>
          <w:rFonts w:ascii="Times New Roman" w:hAnsi="Times New Roman" w:cs="Times New Roman"/>
          <w:b/>
          <w:color w:val="auto"/>
          <w:sz w:val="28"/>
          <w:lang w:val="fr-FR"/>
        </w:rPr>
        <w:t xml:space="preserve">5. Le nouveau modèle d’accord européen ou comment l’Europe </w:t>
      </w:r>
      <w:r w:rsidR="002C5200" w:rsidRPr="0091332B">
        <w:rPr>
          <w:rFonts w:ascii="Times New Roman" w:hAnsi="Times New Roman" w:cs="Times New Roman"/>
          <w:b/>
          <w:color w:val="auto"/>
          <w:sz w:val="28"/>
          <w:lang w:val="fr-FR"/>
        </w:rPr>
        <w:t xml:space="preserve">a adapté </w:t>
      </w:r>
      <w:r w:rsidR="00797525" w:rsidRPr="0091332B">
        <w:rPr>
          <w:rFonts w:ascii="Times New Roman" w:hAnsi="Times New Roman" w:cs="Times New Roman"/>
          <w:b/>
          <w:color w:val="auto"/>
          <w:sz w:val="28"/>
          <w:lang w:val="fr-FR"/>
        </w:rPr>
        <w:t>le</w:t>
      </w:r>
      <w:r w:rsidRPr="0091332B">
        <w:rPr>
          <w:rFonts w:ascii="Times New Roman" w:hAnsi="Times New Roman" w:cs="Times New Roman"/>
          <w:b/>
          <w:color w:val="auto"/>
          <w:sz w:val="28"/>
          <w:lang w:val="fr-FR"/>
        </w:rPr>
        <w:t xml:space="preserve"> modèle américain</w:t>
      </w:r>
      <w:r w:rsidR="002C5200" w:rsidRPr="0091332B">
        <w:rPr>
          <w:rFonts w:ascii="Times New Roman" w:hAnsi="Times New Roman" w:cs="Times New Roman"/>
          <w:b/>
          <w:color w:val="auto"/>
          <w:sz w:val="28"/>
          <w:lang w:val="fr-FR"/>
        </w:rPr>
        <w:t xml:space="preserve"> à ses besoins et intérêts</w:t>
      </w:r>
      <w:bookmarkEnd w:id="30"/>
    </w:p>
    <w:p w14:paraId="6D2E130E" w14:textId="5F28E92C" w:rsidR="00F370D1" w:rsidRDefault="00D33340" w:rsidP="00BA43F7">
      <w:pPr>
        <w:spacing w:before="120" w:after="120" w:line="360" w:lineRule="auto"/>
        <w:jc w:val="both"/>
        <w:rPr>
          <w:rFonts w:ascii="Times New Roman" w:hAnsi="Times New Roman" w:cs="Times New Roman"/>
        </w:rPr>
      </w:pPr>
      <w:r>
        <w:rPr>
          <w:rFonts w:ascii="Times New Roman" w:hAnsi="Times New Roman" w:cs="Times New Roman"/>
          <w:lang w:val="fr-FR"/>
        </w:rPr>
        <w:t xml:space="preserve">Au </w:t>
      </w:r>
      <w:r w:rsidR="001412A2">
        <w:rPr>
          <w:rFonts w:ascii="Times New Roman" w:hAnsi="Times New Roman" w:cs="Times New Roman"/>
          <w:lang w:val="fr-FR"/>
        </w:rPr>
        <w:t>tournant des années 1970, l’une des</w:t>
      </w:r>
      <w:r>
        <w:rPr>
          <w:rFonts w:ascii="Times New Roman" w:hAnsi="Times New Roman" w:cs="Times New Roman"/>
        </w:rPr>
        <w:t xml:space="preserve"> grande</w:t>
      </w:r>
      <w:r w:rsidR="001412A2">
        <w:rPr>
          <w:rFonts w:ascii="Times New Roman" w:hAnsi="Times New Roman" w:cs="Times New Roman"/>
        </w:rPr>
        <w:t>s</w:t>
      </w:r>
      <w:r>
        <w:rPr>
          <w:rFonts w:ascii="Times New Roman" w:hAnsi="Times New Roman" w:cs="Times New Roman"/>
        </w:rPr>
        <w:t xml:space="preserve"> différence</w:t>
      </w:r>
      <w:r w:rsidR="001412A2">
        <w:rPr>
          <w:rFonts w:ascii="Times New Roman" w:hAnsi="Times New Roman" w:cs="Times New Roman"/>
        </w:rPr>
        <w:t>s</w:t>
      </w:r>
      <w:r>
        <w:rPr>
          <w:rFonts w:ascii="Times New Roman" w:hAnsi="Times New Roman" w:cs="Times New Roman"/>
        </w:rPr>
        <w:t xml:space="preserve"> entre les traités FCN des États-Unis et les trai</w:t>
      </w:r>
      <w:r w:rsidR="00BA43F7">
        <w:rPr>
          <w:rFonts w:ascii="Times New Roman" w:hAnsi="Times New Roman" w:cs="Times New Roman"/>
        </w:rPr>
        <w:t>tés bilatéraux d’investissement, alors principalement signés par les pays européens,</w:t>
      </w:r>
      <w:r w:rsidR="00615AD1">
        <w:rPr>
          <w:rFonts w:ascii="Times New Roman" w:hAnsi="Times New Roman" w:cs="Times New Roman"/>
        </w:rPr>
        <w:t xml:space="preserve"> était que les premiers</w:t>
      </w:r>
      <w:r w:rsidR="00BA43F7">
        <w:rPr>
          <w:rFonts w:ascii="Times New Roman" w:hAnsi="Times New Roman" w:cs="Times New Roman"/>
        </w:rPr>
        <w:t xml:space="preserve"> </w:t>
      </w:r>
      <w:r w:rsidR="001412A2">
        <w:rPr>
          <w:rFonts w:ascii="Times New Roman" w:hAnsi="Times New Roman" w:cs="Times New Roman"/>
        </w:rPr>
        <w:t>se signaient</w:t>
      </w:r>
      <w:r w:rsidR="00BA43F7">
        <w:rPr>
          <w:rFonts w:ascii="Times New Roman" w:hAnsi="Times New Roman" w:cs="Times New Roman"/>
        </w:rPr>
        <w:t xml:space="preserve"> entre pays développés (</w:t>
      </w:r>
      <w:proofErr w:type="spellStart"/>
      <w:r w:rsidR="00BA43F7">
        <w:rPr>
          <w:rFonts w:ascii="Times New Roman" w:hAnsi="Times New Roman" w:cs="Times New Roman"/>
        </w:rPr>
        <w:t>Alschner</w:t>
      </w:r>
      <w:proofErr w:type="spellEnd"/>
      <w:r w:rsidR="00BA43F7">
        <w:rPr>
          <w:rFonts w:ascii="Times New Roman" w:hAnsi="Times New Roman" w:cs="Times New Roman"/>
        </w:rPr>
        <w:t xml:space="preserve"> 20</w:t>
      </w:r>
      <w:r w:rsidR="007D54AB">
        <w:rPr>
          <w:rFonts w:ascii="Times New Roman" w:hAnsi="Times New Roman" w:cs="Times New Roman"/>
        </w:rPr>
        <w:t>1</w:t>
      </w:r>
      <w:r w:rsidR="00BA43F7">
        <w:rPr>
          <w:rFonts w:ascii="Times New Roman" w:hAnsi="Times New Roman" w:cs="Times New Roman"/>
        </w:rPr>
        <w:t>3 : 458). De ce fait, ces accords</w:t>
      </w:r>
      <w:r w:rsidR="005E4DC8">
        <w:rPr>
          <w:rFonts w:ascii="Times New Roman" w:hAnsi="Times New Roman" w:cs="Times New Roman"/>
        </w:rPr>
        <w:t xml:space="preserve"> </w:t>
      </w:r>
      <w:r w:rsidR="000274D8">
        <w:rPr>
          <w:rFonts w:ascii="Times New Roman" w:hAnsi="Times New Roman" w:cs="Times New Roman"/>
        </w:rPr>
        <w:t xml:space="preserve">se distinguaient par une approche symétrique des relations économiques entre les États et étaient beaucoup plus détaillés du point de vue de leur contenu </w:t>
      </w:r>
      <w:r w:rsidR="005E4DC8">
        <w:rPr>
          <w:rFonts w:ascii="Times New Roman" w:hAnsi="Times New Roman" w:cs="Times New Roman"/>
        </w:rPr>
        <w:t>(</w:t>
      </w:r>
      <w:proofErr w:type="spellStart"/>
      <w:r w:rsidR="005E4DC8">
        <w:rPr>
          <w:rFonts w:ascii="Times New Roman" w:hAnsi="Times New Roman" w:cs="Times New Roman"/>
        </w:rPr>
        <w:t>Alschner</w:t>
      </w:r>
      <w:proofErr w:type="spellEnd"/>
      <w:r w:rsidR="005E4DC8">
        <w:rPr>
          <w:rFonts w:ascii="Times New Roman" w:hAnsi="Times New Roman" w:cs="Times New Roman"/>
        </w:rPr>
        <w:t xml:space="preserve"> 20</w:t>
      </w:r>
      <w:r w:rsidR="007D54AB">
        <w:rPr>
          <w:rFonts w:ascii="Times New Roman" w:hAnsi="Times New Roman" w:cs="Times New Roman"/>
        </w:rPr>
        <w:t>1</w:t>
      </w:r>
      <w:r w:rsidR="005E4DC8">
        <w:rPr>
          <w:rFonts w:ascii="Times New Roman" w:hAnsi="Times New Roman" w:cs="Times New Roman"/>
        </w:rPr>
        <w:t>3 : 458). Au contraire, les traités bilatéraux d’investissement sont historiquement reconnus comme des ac</w:t>
      </w:r>
      <w:r w:rsidR="00F370D1">
        <w:rPr>
          <w:rFonts w:ascii="Times New Roman" w:hAnsi="Times New Roman" w:cs="Times New Roman"/>
        </w:rPr>
        <w:t>cords asymétriques entre un pays</w:t>
      </w:r>
      <w:r w:rsidR="005E4DC8">
        <w:rPr>
          <w:rFonts w:ascii="Times New Roman" w:hAnsi="Times New Roman" w:cs="Times New Roman"/>
        </w:rPr>
        <w:t xml:space="preserve"> développé et un autre</w:t>
      </w:r>
      <w:r w:rsidR="00F370D1">
        <w:rPr>
          <w:rFonts w:ascii="Times New Roman" w:hAnsi="Times New Roman" w:cs="Times New Roman"/>
        </w:rPr>
        <w:t xml:space="preserve"> pays</w:t>
      </w:r>
      <w:r w:rsidR="005E4DC8">
        <w:rPr>
          <w:rFonts w:ascii="Times New Roman" w:hAnsi="Times New Roman" w:cs="Times New Roman"/>
        </w:rPr>
        <w:t xml:space="preserve"> en voie de développement. Les garanties </w:t>
      </w:r>
      <w:r w:rsidR="005E4DC8">
        <w:rPr>
          <w:rFonts w:ascii="Times New Roman" w:hAnsi="Times New Roman" w:cs="Times New Roman"/>
        </w:rPr>
        <w:lastRenderedPageBreak/>
        <w:t xml:space="preserve">offertes aux investisseurs y étaient les plus larges possibles et </w:t>
      </w:r>
      <w:r w:rsidR="00F370D1" w:rsidRPr="00F370D1">
        <w:rPr>
          <w:rFonts w:ascii="Times New Roman" w:hAnsi="Times New Roman" w:cs="Times New Roman"/>
        </w:rPr>
        <w:t xml:space="preserve"> ne contenait que très peu, voire aucune restriction. </w:t>
      </w:r>
    </w:p>
    <w:p w14:paraId="08D258A4" w14:textId="69E44B25" w:rsidR="005E4DC8" w:rsidRDefault="005E4DC8" w:rsidP="00BA43F7">
      <w:pPr>
        <w:spacing w:before="120" w:after="120" w:line="360" w:lineRule="auto"/>
        <w:jc w:val="both"/>
        <w:rPr>
          <w:rFonts w:ascii="Times New Roman" w:hAnsi="Times New Roman" w:cs="Times New Roman"/>
        </w:rPr>
      </w:pPr>
      <w:r>
        <w:rPr>
          <w:rFonts w:ascii="Times New Roman" w:hAnsi="Times New Roman" w:cs="Times New Roman"/>
        </w:rPr>
        <w:t xml:space="preserve">Aujourd’hui, </w:t>
      </w:r>
      <w:proofErr w:type="spellStart"/>
      <w:r>
        <w:rPr>
          <w:rFonts w:ascii="Times New Roman" w:hAnsi="Times New Roman" w:cs="Times New Roman"/>
        </w:rPr>
        <w:t>Alschner</w:t>
      </w:r>
      <w:proofErr w:type="spellEnd"/>
      <w:r>
        <w:rPr>
          <w:rFonts w:ascii="Times New Roman" w:hAnsi="Times New Roman" w:cs="Times New Roman"/>
        </w:rPr>
        <w:t xml:space="preserve"> sou</w:t>
      </w:r>
      <w:r w:rsidR="000274D8">
        <w:rPr>
          <w:rFonts w:ascii="Times New Roman" w:hAnsi="Times New Roman" w:cs="Times New Roman"/>
        </w:rPr>
        <w:t xml:space="preserve">tient que </w:t>
      </w:r>
      <w:r w:rsidR="007D54AB">
        <w:rPr>
          <w:rFonts w:ascii="Times New Roman" w:hAnsi="Times New Roman" w:cs="Times New Roman"/>
        </w:rPr>
        <w:t>suite à</w:t>
      </w:r>
      <w:r w:rsidR="000274D8">
        <w:rPr>
          <w:rFonts w:ascii="Times New Roman" w:hAnsi="Times New Roman" w:cs="Times New Roman"/>
        </w:rPr>
        <w:t xml:space="preserve"> la sign</w:t>
      </w:r>
      <w:r w:rsidR="007D54AB">
        <w:rPr>
          <w:rFonts w:ascii="Times New Roman" w:hAnsi="Times New Roman" w:cs="Times New Roman"/>
        </w:rPr>
        <w:t>a</w:t>
      </w:r>
      <w:r w:rsidR="000274D8">
        <w:rPr>
          <w:rFonts w:ascii="Times New Roman" w:hAnsi="Times New Roman" w:cs="Times New Roman"/>
        </w:rPr>
        <w:t>ture de l’ALENA</w:t>
      </w:r>
      <w:r w:rsidR="007D54AB">
        <w:rPr>
          <w:rFonts w:ascii="Times New Roman" w:hAnsi="Times New Roman" w:cs="Times New Roman"/>
        </w:rPr>
        <w:t xml:space="preserve"> </w:t>
      </w:r>
      <w:r w:rsidR="000274D8">
        <w:rPr>
          <w:rFonts w:ascii="Times New Roman" w:hAnsi="Times New Roman" w:cs="Times New Roman"/>
        </w:rPr>
        <w:t xml:space="preserve">le droit international des </w:t>
      </w:r>
      <w:r w:rsidR="00F370D1">
        <w:rPr>
          <w:rFonts w:ascii="Times New Roman" w:hAnsi="Times New Roman" w:cs="Times New Roman"/>
        </w:rPr>
        <w:t>investissements revient à l’esprit</w:t>
      </w:r>
      <w:r w:rsidR="000274D8">
        <w:rPr>
          <w:rFonts w:ascii="Times New Roman" w:hAnsi="Times New Roman" w:cs="Times New Roman"/>
        </w:rPr>
        <w:t xml:space="preserve"> des traités FCN et</w:t>
      </w:r>
      <w:r w:rsidR="00F370D1">
        <w:rPr>
          <w:rFonts w:ascii="Times New Roman" w:hAnsi="Times New Roman" w:cs="Times New Roman"/>
        </w:rPr>
        <w:t>,</w:t>
      </w:r>
      <w:r w:rsidR="000274D8">
        <w:rPr>
          <w:rFonts w:ascii="Times New Roman" w:hAnsi="Times New Roman" w:cs="Times New Roman"/>
        </w:rPr>
        <w:t xml:space="preserve"> par le fait même</w:t>
      </w:r>
      <w:r w:rsidR="00F370D1">
        <w:rPr>
          <w:rFonts w:ascii="Times New Roman" w:hAnsi="Times New Roman" w:cs="Times New Roman"/>
        </w:rPr>
        <w:t>,</w:t>
      </w:r>
      <w:r w:rsidR="000274D8">
        <w:rPr>
          <w:rFonts w:ascii="Times New Roman" w:hAnsi="Times New Roman" w:cs="Times New Roman"/>
        </w:rPr>
        <w:t xml:space="preserve"> s’américanise</w:t>
      </w:r>
      <w:r w:rsidR="007D54AB">
        <w:rPr>
          <w:rFonts w:ascii="Times New Roman" w:hAnsi="Times New Roman" w:cs="Times New Roman"/>
        </w:rPr>
        <w:t xml:space="preserve"> (2013 : 480)</w:t>
      </w:r>
      <w:r w:rsidR="000274D8">
        <w:rPr>
          <w:rFonts w:ascii="Times New Roman" w:hAnsi="Times New Roman" w:cs="Times New Roman"/>
        </w:rPr>
        <w:t xml:space="preserve">. </w:t>
      </w:r>
      <w:r w:rsidR="007D54AB">
        <w:rPr>
          <w:rFonts w:ascii="Times New Roman" w:hAnsi="Times New Roman" w:cs="Times New Roman"/>
        </w:rPr>
        <w:t>Il est vrai, comme le présent essai l’a démontré, que plusieurs caractérist</w:t>
      </w:r>
      <w:r w:rsidR="00F370D1">
        <w:rPr>
          <w:rFonts w:ascii="Times New Roman" w:hAnsi="Times New Roman" w:cs="Times New Roman"/>
        </w:rPr>
        <w:t>iques propres aux traités FCN sont réapparues</w:t>
      </w:r>
      <w:r w:rsidR="007D54AB">
        <w:rPr>
          <w:rFonts w:ascii="Times New Roman" w:hAnsi="Times New Roman" w:cs="Times New Roman"/>
        </w:rPr>
        <w:t>. À l’image de l’AECG, plusieurs accords sur l’investissement sont maintenant signés entre pays développés et entre pays en voie de développement. Un tel constat favorise le retour d’une relation plus symétrique entre les États signataires d</w:t>
      </w:r>
      <w:r w:rsidR="00F370D1">
        <w:rPr>
          <w:rFonts w:ascii="Times New Roman" w:hAnsi="Times New Roman" w:cs="Times New Roman"/>
        </w:rPr>
        <w:t xml:space="preserve">’accord sur l’investissement. Le fait que </w:t>
      </w:r>
      <w:r w:rsidR="007D54AB">
        <w:rPr>
          <w:rFonts w:ascii="Times New Roman" w:hAnsi="Times New Roman" w:cs="Times New Roman"/>
        </w:rPr>
        <w:t xml:space="preserve">les pays développés </w:t>
      </w:r>
      <w:r w:rsidR="00F370D1">
        <w:rPr>
          <w:rFonts w:ascii="Times New Roman" w:hAnsi="Times New Roman" w:cs="Times New Roman"/>
        </w:rPr>
        <w:t>reçoivent actuellement</w:t>
      </w:r>
      <w:r w:rsidR="007D54AB">
        <w:rPr>
          <w:rFonts w:ascii="Times New Roman" w:hAnsi="Times New Roman" w:cs="Times New Roman"/>
        </w:rPr>
        <w:t xml:space="preserve"> des plaintes d’investisseurs étrangers les </w:t>
      </w:r>
      <w:proofErr w:type="gramStart"/>
      <w:r w:rsidR="007D54AB">
        <w:rPr>
          <w:rFonts w:ascii="Times New Roman" w:hAnsi="Times New Roman" w:cs="Times New Roman"/>
        </w:rPr>
        <w:t>forcent</w:t>
      </w:r>
      <w:proofErr w:type="gramEnd"/>
      <w:r w:rsidR="007D54AB">
        <w:rPr>
          <w:rFonts w:ascii="Times New Roman" w:hAnsi="Times New Roman" w:cs="Times New Roman"/>
        </w:rPr>
        <w:t xml:space="preserve"> évidemment à développer des accords plus équilibrés </w:t>
      </w:r>
      <w:r w:rsidR="00F370D1">
        <w:rPr>
          <w:rFonts w:ascii="Times New Roman" w:hAnsi="Times New Roman" w:cs="Times New Roman"/>
        </w:rPr>
        <w:t xml:space="preserve">afin de préserver </w:t>
      </w:r>
      <w:r w:rsidR="00D54888">
        <w:rPr>
          <w:rFonts w:ascii="Times New Roman" w:hAnsi="Times New Roman" w:cs="Times New Roman"/>
        </w:rPr>
        <w:t xml:space="preserve">leur pouvoir </w:t>
      </w:r>
      <w:proofErr w:type="spellStart"/>
      <w:r w:rsidR="00D54888">
        <w:rPr>
          <w:rFonts w:ascii="Times New Roman" w:hAnsi="Times New Roman" w:cs="Times New Roman"/>
        </w:rPr>
        <w:t>réglementaire</w:t>
      </w:r>
      <w:proofErr w:type="spellEnd"/>
      <w:r w:rsidR="00D54888">
        <w:rPr>
          <w:rFonts w:ascii="Times New Roman" w:hAnsi="Times New Roman" w:cs="Times New Roman"/>
        </w:rPr>
        <w:t xml:space="preserve">. </w:t>
      </w:r>
      <w:r w:rsidR="007D54AB">
        <w:rPr>
          <w:rFonts w:ascii="Times New Roman" w:hAnsi="Times New Roman" w:cs="Times New Roman"/>
        </w:rPr>
        <w:t xml:space="preserve">De plus, les investissements sont </w:t>
      </w:r>
      <w:r w:rsidR="00D54888">
        <w:rPr>
          <w:rFonts w:ascii="Times New Roman" w:hAnsi="Times New Roman" w:cs="Times New Roman"/>
        </w:rPr>
        <w:t>davantage</w:t>
      </w:r>
      <w:r w:rsidR="007D54AB">
        <w:rPr>
          <w:rFonts w:ascii="Times New Roman" w:hAnsi="Times New Roman" w:cs="Times New Roman"/>
        </w:rPr>
        <w:t xml:space="preserve"> appréhendés </w:t>
      </w:r>
      <w:r w:rsidR="00D54888">
        <w:rPr>
          <w:rFonts w:ascii="Times New Roman" w:hAnsi="Times New Roman" w:cs="Times New Roman"/>
        </w:rPr>
        <w:t>dans un contexte économique global. L’inclusion grandissante de chapitre</w:t>
      </w:r>
      <w:r w:rsidR="00A921D8">
        <w:rPr>
          <w:rFonts w:ascii="Times New Roman" w:hAnsi="Times New Roman" w:cs="Times New Roman"/>
        </w:rPr>
        <w:t>s</w:t>
      </w:r>
      <w:r w:rsidR="00D54888">
        <w:rPr>
          <w:rFonts w:ascii="Times New Roman" w:hAnsi="Times New Roman" w:cs="Times New Roman"/>
        </w:rPr>
        <w:t xml:space="preserve"> sur l’investissement au sein d’accords de libre-échan</w:t>
      </w:r>
      <w:r w:rsidR="00F370D1">
        <w:rPr>
          <w:rFonts w:ascii="Times New Roman" w:hAnsi="Times New Roman" w:cs="Times New Roman"/>
        </w:rPr>
        <w:t>ge reflète à l’évidence cette approche plus holistique des relations économiques internationales.</w:t>
      </w:r>
    </w:p>
    <w:p w14:paraId="6733A602" w14:textId="3F8626B5" w:rsidR="001952B7" w:rsidRDefault="00D54888" w:rsidP="00BA43F7">
      <w:pPr>
        <w:spacing w:before="120" w:after="120" w:line="360" w:lineRule="auto"/>
        <w:jc w:val="both"/>
        <w:rPr>
          <w:rFonts w:ascii="Times New Roman" w:hAnsi="Times New Roman" w:cs="Times New Roman"/>
        </w:rPr>
      </w:pPr>
      <w:r>
        <w:rPr>
          <w:rFonts w:ascii="Times New Roman" w:hAnsi="Times New Roman" w:cs="Times New Roman"/>
        </w:rPr>
        <w:t xml:space="preserve">Le modèle d’accord européen </w:t>
      </w:r>
      <w:r w:rsidR="00F370D1">
        <w:rPr>
          <w:rFonts w:ascii="Times New Roman" w:hAnsi="Times New Roman" w:cs="Times New Roman"/>
        </w:rPr>
        <w:t>présenté dans le cadre</w:t>
      </w:r>
      <w:r>
        <w:rPr>
          <w:rFonts w:ascii="Times New Roman" w:hAnsi="Times New Roman" w:cs="Times New Roman"/>
        </w:rPr>
        <w:t xml:space="preserve"> de la présente analyse reflète bien évidemment tous </w:t>
      </w:r>
      <w:r w:rsidR="00A921D8">
        <w:rPr>
          <w:rFonts w:ascii="Times New Roman" w:hAnsi="Times New Roman" w:cs="Times New Roman"/>
        </w:rPr>
        <w:t>c</w:t>
      </w:r>
      <w:r>
        <w:rPr>
          <w:rFonts w:ascii="Times New Roman" w:hAnsi="Times New Roman" w:cs="Times New Roman"/>
        </w:rPr>
        <w:t xml:space="preserve">es éléments. </w:t>
      </w:r>
      <w:r w:rsidR="001952B7">
        <w:rPr>
          <w:rFonts w:ascii="Times New Roman" w:hAnsi="Times New Roman" w:cs="Times New Roman"/>
        </w:rPr>
        <w:t>En plus de s’être développé au fil des négociations av</w:t>
      </w:r>
      <w:r w:rsidR="00F370D1">
        <w:rPr>
          <w:rFonts w:ascii="Times New Roman" w:hAnsi="Times New Roman" w:cs="Times New Roman"/>
        </w:rPr>
        <w:t>ec d’autres États développés, ce modèle</w:t>
      </w:r>
      <w:r w:rsidR="001952B7">
        <w:rPr>
          <w:rFonts w:ascii="Times New Roman" w:hAnsi="Times New Roman" w:cs="Times New Roman"/>
        </w:rPr>
        <w:t xml:space="preserve"> s’est clairement éloigné des accords principalement pro-investisseurs qui caractérisaient le </w:t>
      </w:r>
      <w:r w:rsidR="001952B7">
        <w:rPr>
          <w:rFonts w:ascii="Times New Roman" w:hAnsi="Times New Roman" w:cs="Times New Roman"/>
          <w:i/>
        </w:rPr>
        <w:t xml:space="preserve">gold standard </w:t>
      </w:r>
      <w:r w:rsidR="00F370D1">
        <w:rPr>
          <w:rFonts w:ascii="Times New Roman" w:hAnsi="Times New Roman" w:cs="Times New Roman"/>
        </w:rPr>
        <w:t>européen. En ce sens, l</w:t>
      </w:r>
      <w:r w:rsidR="001952B7">
        <w:rPr>
          <w:rFonts w:ascii="Times New Roman" w:hAnsi="Times New Roman" w:cs="Times New Roman"/>
        </w:rPr>
        <w:t xml:space="preserve">e nouveau modèle d’accord européen s’américanise effectivement. Toutefois, cette affirmation ne devrait pas obscurcir l’autre conclusion qui ressort très clairement du présent essai, soit que la Commission européenne ne s’est pas uniquement inspirée de l’Amérique du Nord dans le développement de son modèle. </w:t>
      </w:r>
    </w:p>
    <w:p w14:paraId="6A58BCD9" w14:textId="7E81183B" w:rsidR="00E03CBD" w:rsidRDefault="001952B7" w:rsidP="00BA43F7">
      <w:pPr>
        <w:spacing w:before="120" w:after="120" w:line="360" w:lineRule="auto"/>
        <w:jc w:val="both"/>
        <w:rPr>
          <w:rFonts w:ascii="Times New Roman" w:hAnsi="Times New Roman" w:cs="Times New Roman"/>
        </w:rPr>
      </w:pPr>
      <w:r>
        <w:rPr>
          <w:rFonts w:ascii="Times New Roman" w:hAnsi="Times New Roman" w:cs="Times New Roman"/>
        </w:rPr>
        <w:t xml:space="preserve">Le complexe d’institutions en place </w:t>
      </w:r>
      <w:r w:rsidR="00F370D1">
        <w:rPr>
          <w:rFonts w:ascii="Times New Roman" w:hAnsi="Times New Roman" w:cs="Times New Roman"/>
        </w:rPr>
        <w:t>présentait</w:t>
      </w:r>
      <w:r>
        <w:rPr>
          <w:rFonts w:ascii="Times New Roman" w:hAnsi="Times New Roman" w:cs="Times New Roman"/>
        </w:rPr>
        <w:t xml:space="preserve"> en effet une multitude de sources d’inspiration. L’OMC, ses précédents traités de libre-</w:t>
      </w:r>
      <w:r w:rsidR="001412A2">
        <w:rPr>
          <w:rFonts w:ascii="Times New Roman" w:hAnsi="Times New Roman" w:cs="Times New Roman"/>
        </w:rPr>
        <w:t>échange</w:t>
      </w:r>
      <w:r>
        <w:rPr>
          <w:rFonts w:ascii="Times New Roman" w:hAnsi="Times New Roman" w:cs="Times New Roman"/>
        </w:rPr>
        <w:t xml:space="preserve">, la jurisprudence </w:t>
      </w:r>
      <w:r w:rsidR="001412A2">
        <w:rPr>
          <w:rFonts w:ascii="Times New Roman" w:hAnsi="Times New Roman" w:cs="Times New Roman"/>
        </w:rPr>
        <w:t>arbitrale et internationale,</w:t>
      </w:r>
      <w:r>
        <w:rPr>
          <w:rFonts w:ascii="Times New Roman" w:hAnsi="Times New Roman" w:cs="Times New Roman"/>
        </w:rPr>
        <w:t xml:space="preserve"> les travaux d’organisations internationales</w:t>
      </w:r>
      <w:r w:rsidR="001412A2">
        <w:rPr>
          <w:rFonts w:ascii="Times New Roman" w:hAnsi="Times New Roman" w:cs="Times New Roman"/>
        </w:rPr>
        <w:t xml:space="preserve"> </w:t>
      </w:r>
      <w:r w:rsidR="00F370D1">
        <w:rPr>
          <w:rFonts w:ascii="Times New Roman" w:hAnsi="Times New Roman" w:cs="Times New Roman"/>
        </w:rPr>
        <w:t>de même que</w:t>
      </w:r>
      <w:r w:rsidR="001412A2">
        <w:rPr>
          <w:rFonts w:ascii="Times New Roman" w:hAnsi="Times New Roman" w:cs="Times New Roman"/>
        </w:rPr>
        <w:t xml:space="preserve"> la Charte de l’énergie, seul traité d’investissement signé par l’Union européenne avant le Traité de Lisbonne,</w:t>
      </w:r>
      <w:r>
        <w:rPr>
          <w:rFonts w:ascii="Times New Roman" w:hAnsi="Times New Roman" w:cs="Times New Roman"/>
        </w:rPr>
        <w:t xml:space="preserve"> </w:t>
      </w:r>
      <w:r w:rsidR="00A921D8">
        <w:rPr>
          <w:rFonts w:ascii="Times New Roman" w:hAnsi="Times New Roman" w:cs="Times New Roman"/>
        </w:rPr>
        <w:t>s</w:t>
      </w:r>
      <w:r>
        <w:rPr>
          <w:rFonts w:ascii="Times New Roman" w:hAnsi="Times New Roman" w:cs="Times New Roman"/>
        </w:rPr>
        <w:t xml:space="preserve">ont notamment </w:t>
      </w:r>
      <w:r w:rsidR="00A921D8">
        <w:rPr>
          <w:rFonts w:ascii="Times New Roman" w:hAnsi="Times New Roman" w:cs="Times New Roman"/>
        </w:rPr>
        <w:t>mis à profit</w:t>
      </w:r>
      <w:r w:rsidR="00F370D1">
        <w:rPr>
          <w:rFonts w:ascii="Times New Roman" w:hAnsi="Times New Roman" w:cs="Times New Roman"/>
        </w:rPr>
        <w:t xml:space="preserve"> par</w:t>
      </w:r>
      <w:r>
        <w:rPr>
          <w:rFonts w:ascii="Times New Roman" w:hAnsi="Times New Roman" w:cs="Times New Roman"/>
        </w:rPr>
        <w:t xml:space="preserve"> </w:t>
      </w:r>
      <w:r w:rsidR="00F370D1">
        <w:rPr>
          <w:rFonts w:ascii="Times New Roman" w:hAnsi="Times New Roman" w:cs="Times New Roman"/>
        </w:rPr>
        <w:t xml:space="preserve">la Commission européenne </w:t>
      </w:r>
      <w:r>
        <w:rPr>
          <w:rFonts w:ascii="Times New Roman" w:hAnsi="Times New Roman" w:cs="Times New Roman"/>
        </w:rPr>
        <w:t xml:space="preserve">dans le développement de son modèle. Une lecture approfondie du texte des différentes clauses </w:t>
      </w:r>
      <w:r w:rsidR="001412A2">
        <w:rPr>
          <w:rFonts w:ascii="Times New Roman" w:hAnsi="Times New Roman" w:cs="Times New Roman"/>
        </w:rPr>
        <w:t>mis</w:t>
      </w:r>
      <w:r w:rsidR="00F370D1">
        <w:rPr>
          <w:rFonts w:ascii="Times New Roman" w:hAnsi="Times New Roman" w:cs="Times New Roman"/>
        </w:rPr>
        <w:t>es</w:t>
      </w:r>
      <w:r w:rsidR="001412A2">
        <w:rPr>
          <w:rFonts w:ascii="Times New Roman" w:hAnsi="Times New Roman" w:cs="Times New Roman"/>
        </w:rPr>
        <w:t xml:space="preserve"> de l’avant par la </w:t>
      </w:r>
      <w:r>
        <w:rPr>
          <w:rFonts w:ascii="Times New Roman" w:hAnsi="Times New Roman" w:cs="Times New Roman"/>
        </w:rPr>
        <w:t xml:space="preserve">Commission européenne nous apprend qu’en changeant </w:t>
      </w:r>
      <w:r w:rsidR="001412A2">
        <w:rPr>
          <w:rFonts w:ascii="Times New Roman" w:hAnsi="Times New Roman" w:cs="Times New Roman"/>
        </w:rPr>
        <w:t>certains</w:t>
      </w:r>
      <w:r>
        <w:rPr>
          <w:rFonts w:ascii="Times New Roman" w:hAnsi="Times New Roman" w:cs="Times New Roman"/>
        </w:rPr>
        <w:t xml:space="preserve"> mots</w:t>
      </w:r>
      <w:r w:rsidR="001412A2">
        <w:rPr>
          <w:rFonts w:ascii="Times New Roman" w:hAnsi="Times New Roman" w:cs="Times New Roman"/>
        </w:rPr>
        <w:t xml:space="preserve"> ou en adoptant certains concepts</w:t>
      </w:r>
      <w:r>
        <w:rPr>
          <w:rFonts w:ascii="Times New Roman" w:hAnsi="Times New Roman" w:cs="Times New Roman"/>
        </w:rPr>
        <w:t xml:space="preserve">, l’Europe développe en fait son propre modèle. L’inclusion d’un article sur l’accès au marché et la non-référence au droit </w:t>
      </w:r>
      <w:r>
        <w:rPr>
          <w:rFonts w:ascii="Times New Roman" w:hAnsi="Times New Roman" w:cs="Times New Roman"/>
        </w:rPr>
        <w:lastRenderedPageBreak/>
        <w:t>international coutumier pour qualifier le traitement juste et équitable sont notamment deux éléments qui distinguent singulièrement son modèle d</w:t>
      </w:r>
      <w:r w:rsidR="00A921D8">
        <w:rPr>
          <w:rFonts w:ascii="Times New Roman" w:hAnsi="Times New Roman" w:cs="Times New Roman"/>
        </w:rPr>
        <w:t>u</w:t>
      </w:r>
      <w:r w:rsidR="008979BD">
        <w:rPr>
          <w:rFonts w:ascii="Times New Roman" w:hAnsi="Times New Roman" w:cs="Times New Roman"/>
        </w:rPr>
        <w:t xml:space="preserve"> </w:t>
      </w:r>
      <w:r w:rsidR="00A921D8">
        <w:rPr>
          <w:rFonts w:ascii="Times New Roman" w:hAnsi="Times New Roman" w:cs="Times New Roman"/>
        </w:rPr>
        <w:t>modèle</w:t>
      </w:r>
      <w:r>
        <w:rPr>
          <w:rFonts w:ascii="Times New Roman" w:hAnsi="Times New Roman" w:cs="Times New Roman"/>
        </w:rPr>
        <w:t xml:space="preserve"> américain.</w:t>
      </w:r>
      <w:r w:rsidR="00E03CBD">
        <w:rPr>
          <w:rFonts w:ascii="Times New Roman" w:hAnsi="Times New Roman" w:cs="Times New Roman"/>
        </w:rPr>
        <w:t xml:space="preserve"> </w:t>
      </w:r>
      <w:r w:rsidR="001412A2">
        <w:rPr>
          <w:rFonts w:ascii="Times New Roman" w:hAnsi="Times New Roman" w:cs="Times New Roman"/>
        </w:rPr>
        <w:t xml:space="preserve">Des règles présentes au sein d’autres traités se sont ainsi </w:t>
      </w:r>
      <w:proofErr w:type="gramStart"/>
      <w:r w:rsidR="001412A2">
        <w:rPr>
          <w:rFonts w:ascii="Times New Roman" w:hAnsi="Times New Roman" w:cs="Times New Roman"/>
        </w:rPr>
        <w:t>répercutées</w:t>
      </w:r>
      <w:proofErr w:type="gramEnd"/>
      <w:r w:rsidR="001412A2">
        <w:rPr>
          <w:rFonts w:ascii="Times New Roman" w:hAnsi="Times New Roman" w:cs="Times New Roman"/>
        </w:rPr>
        <w:t xml:space="preserve"> dans le modèle d’accord européen. D</w:t>
      </w:r>
      <w:r w:rsidR="00F370D1">
        <w:rPr>
          <w:rFonts w:ascii="Times New Roman" w:hAnsi="Times New Roman" w:cs="Times New Roman"/>
        </w:rPr>
        <w:t>e plus, d</w:t>
      </w:r>
      <w:r w:rsidR="001412A2">
        <w:rPr>
          <w:rFonts w:ascii="Times New Roman" w:hAnsi="Times New Roman" w:cs="Times New Roman"/>
        </w:rPr>
        <w:t>es</w:t>
      </w:r>
      <w:r w:rsidR="00E03CBD">
        <w:rPr>
          <w:rFonts w:ascii="Times New Roman" w:hAnsi="Times New Roman" w:cs="Times New Roman"/>
        </w:rPr>
        <w:t xml:space="preserve"> stratégies interinstitutionnelles ont</w:t>
      </w:r>
      <w:r w:rsidR="001412A2">
        <w:rPr>
          <w:rFonts w:ascii="Times New Roman" w:hAnsi="Times New Roman" w:cs="Times New Roman"/>
        </w:rPr>
        <w:t xml:space="preserve"> </w:t>
      </w:r>
      <w:r w:rsidR="00E03CBD">
        <w:rPr>
          <w:rFonts w:ascii="Times New Roman" w:hAnsi="Times New Roman" w:cs="Times New Roman"/>
        </w:rPr>
        <w:t xml:space="preserve">pu être observées alors que la Commission européenne négocie parallèlement des traités avec d’autres importants acteurs comme la Chine et les États-Unis. </w:t>
      </w:r>
      <w:r w:rsidR="0088212C">
        <w:rPr>
          <w:rFonts w:ascii="Times New Roman" w:hAnsi="Times New Roman" w:cs="Times New Roman"/>
        </w:rPr>
        <w:t>Finalement,</w:t>
      </w:r>
      <w:r w:rsidR="00E03CBD">
        <w:rPr>
          <w:rFonts w:ascii="Times New Roman" w:hAnsi="Times New Roman" w:cs="Times New Roman"/>
        </w:rPr>
        <w:t xml:space="preserve"> </w:t>
      </w:r>
      <w:r w:rsidR="0088212C">
        <w:rPr>
          <w:rFonts w:ascii="Times New Roman" w:hAnsi="Times New Roman" w:cs="Times New Roman"/>
        </w:rPr>
        <w:t xml:space="preserve">les postulats de </w:t>
      </w:r>
      <w:proofErr w:type="spellStart"/>
      <w:r w:rsidR="0088212C">
        <w:rPr>
          <w:rFonts w:ascii="Times New Roman" w:hAnsi="Times New Roman" w:cs="Times New Roman"/>
        </w:rPr>
        <w:t>Poulsen</w:t>
      </w:r>
      <w:proofErr w:type="spellEnd"/>
      <w:r w:rsidR="0088212C">
        <w:rPr>
          <w:rFonts w:ascii="Times New Roman" w:hAnsi="Times New Roman" w:cs="Times New Roman"/>
        </w:rPr>
        <w:t xml:space="preserve"> en lien avec la rationalité</w:t>
      </w:r>
      <w:r w:rsidR="00103AFE">
        <w:rPr>
          <w:rFonts w:ascii="Times New Roman" w:hAnsi="Times New Roman" w:cs="Times New Roman"/>
        </w:rPr>
        <w:t xml:space="preserve"> limitée des acteurs ont</w:t>
      </w:r>
      <w:r w:rsidR="0088212C">
        <w:rPr>
          <w:rFonts w:ascii="Times New Roman" w:hAnsi="Times New Roman" w:cs="Times New Roman"/>
        </w:rPr>
        <w:t xml:space="preserve"> aussi permis de mieux comprendre le développement du modèle d’accord sur l’investissement européen. </w:t>
      </w:r>
      <w:r w:rsidR="00103AFE">
        <w:rPr>
          <w:rFonts w:ascii="Times New Roman" w:hAnsi="Times New Roman" w:cs="Times New Roman"/>
        </w:rPr>
        <w:t xml:space="preserve">Les </w:t>
      </w:r>
      <w:r w:rsidR="00E03CBD">
        <w:rPr>
          <w:rFonts w:ascii="Times New Roman" w:hAnsi="Times New Roman" w:cs="Times New Roman"/>
        </w:rPr>
        <w:t>négociateurs européens</w:t>
      </w:r>
      <w:r w:rsidR="00103AFE">
        <w:rPr>
          <w:rFonts w:ascii="Times New Roman" w:hAnsi="Times New Roman" w:cs="Times New Roman"/>
        </w:rPr>
        <w:t xml:space="preserve"> démontrent en effet une tendance à favoriser un certain statu quo et à utiliser les informations qu’ils connaissent le mieux en</w:t>
      </w:r>
      <w:r w:rsidR="00E03CBD">
        <w:rPr>
          <w:rFonts w:ascii="Times New Roman" w:hAnsi="Times New Roman" w:cs="Times New Roman"/>
        </w:rPr>
        <w:t xml:space="preserve"> </w:t>
      </w:r>
      <w:r w:rsidR="00103AFE">
        <w:rPr>
          <w:rFonts w:ascii="Times New Roman" w:hAnsi="Times New Roman" w:cs="Times New Roman"/>
        </w:rPr>
        <w:t>basant r</w:t>
      </w:r>
      <w:r w:rsidR="00F95595">
        <w:rPr>
          <w:rFonts w:ascii="Times New Roman" w:hAnsi="Times New Roman" w:cs="Times New Roman"/>
        </w:rPr>
        <w:t xml:space="preserve">égulièrement </w:t>
      </w:r>
      <w:r w:rsidR="00103AFE">
        <w:rPr>
          <w:rFonts w:ascii="Times New Roman" w:hAnsi="Times New Roman" w:cs="Times New Roman"/>
        </w:rPr>
        <w:t xml:space="preserve">leur </w:t>
      </w:r>
      <w:proofErr w:type="spellStart"/>
      <w:r w:rsidR="00F95595">
        <w:rPr>
          <w:rFonts w:ascii="Times New Roman" w:hAnsi="Times New Roman" w:cs="Times New Roman"/>
        </w:rPr>
        <w:t>leur</w:t>
      </w:r>
      <w:proofErr w:type="spellEnd"/>
      <w:r w:rsidR="00F95595">
        <w:rPr>
          <w:rFonts w:ascii="Times New Roman" w:hAnsi="Times New Roman" w:cs="Times New Roman"/>
        </w:rPr>
        <w:t xml:space="preserve"> </w:t>
      </w:r>
      <w:r w:rsidR="00103AFE">
        <w:rPr>
          <w:rFonts w:ascii="Times New Roman" w:hAnsi="Times New Roman" w:cs="Times New Roman"/>
        </w:rPr>
        <w:t xml:space="preserve">décision sur leur </w:t>
      </w:r>
      <w:r w:rsidR="00F95595">
        <w:rPr>
          <w:rFonts w:ascii="Times New Roman" w:hAnsi="Times New Roman" w:cs="Times New Roman"/>
        </w:rPr>
        <w:t>expérience passée à l’OMC ou dans la négociation de précédents accords de libre-échange</w:t>
      </w:r>
      <w:r w:rsidR="00103AFE">
        <w:rPr>
          <w:rFonts w:ascii="Times New Roman" w:hAnsi="Times New Roman" w:cs="Times New Roman"/>
        </w:rPr>
        <w:t xml:space="preserve">. </w:t>
      </w:r>
      <w:r w:rsidR="00F95595">
        <w:rPr>
          <w:rFonts w:ascii="Times New Roman" w:hAnsi="Times New Roman" w:cs="Times New Roman"/>
        </w:rPr>
        <w:t xml:space="preserve">Le nombre de liens entre ce nouveau modèle d’accord européen et les règles de l’OMC est </w:t>
      </w:r>
      <w:r w:rsidR="00FC4C1A">
        <w:rPr>
          <w:rFonts w:ascii="Times New Roman" w:hAnsi="Times New Roman" w:cs="Times New Roman"/>
        </w:rPr>
        <w:t>à ce sujet très</w:t>
      </w:r>
      <w:r w:rsidR="00F95595">
        <w:rPr>
          <w:rFonts w:ascii="Times New Roman" w:hAnsi="Times New Roman" w:cs="Times New Roman"/>
        </w:rPr>
        <w:t xml:space="preserve"> significatif, surtout </w:t>
      </w:r>
      <w:r w:rsidR="00FC4C1A">
        <w:rPr>
          <w:rFonts w:ascii="Times New Roman" w:hAnsi="Times New Roman" w:cs="Times New Roman"/>
        </w:rPr>
        <w:t xml:space="preserve">que le commerce et l’investissement </w:t>
      </w:r>
      <w:proofErr w:type="gramStart"/>
      <w:r w:rsidR="00FC4C1A">
        <w:rPr>
          <w:rFonts w:ascii="Times New Roman" w:hAnsi="Times New Roman" w:cs="Times New Roman"/>
        </w:rPr>
        <w:t>sont</w:t>
      </w:r>
      <w:proofErr w:type="gramEnd"/>
      <w:r w:rsidR="00FC4C1A">
        <w:rPr>
          <w:rFonts w:ascii="Times New Roman" w:hAnsi="Times New Roman" w:cs="Times New Roman"/>
        </w:rPr>
        <w:t xml:space="preserve"> souvent analysés séparément. </w:t>
      </w:r>
      <w:r w:rsidR="00F95595">
        <w:rPr>
          <w:rFonts w:ascii="Times New Roman" w:hAnsi="Times New Roman" w:cs="Times New Roman"/>
        </w:rPr>
        <w:t xml:space="preserve"> </w:t>
      </w:r>
    </w:p>
    <w:p w14:paraId="5B9386AA" w14:textId="41EA5F67" w:rsidR="00D33340" w:rsidRDefault="00E03CBD" w:rsidP="004E3590">
      <w:pPr>
        <w:spacing w:before="120" w:after="120" w:line="360" w:lineRule="auto"/>
        <w:jc w:val="both"/>
        <w:rPr>
          <w:rFonts w:ascii="Times New Roman" w:hAnsi="Times New Roman" w:cs="Times New Roman"/>
        </w:rPr>
      </w:pPr>
      <w:r>
        <w:rPr>
          <w:rFonts w:ascii="Times New Roman" w:hAnsi="Times New Roman" w:cs="Times New Roman"/>
        </w:rPr>
        <w:t xml:space="preserve">En somme, l’Europe a </w:t>
      </w:r>
      <w:r w:rsidR="00F370D1">
        <w:rPr>
          <w:rFonts w:ascii="Times New Roman" w:hAnsi="Times New Roman" w:cs="Times New Roman"/>
        </w:rPr>
        <w:t>adopté</w:t>
      </w:r>
      <w:r>
        <w:rPr>
          <w:rFonts w:ascii="Times New Roman" w:hAnsi="Times New Roman" w:cs="Times New Roman"/>
        </w:rPr>
        <w:t xml:space="preserve"> le format des traités bilatéraux d’investissement américains, mais le contenu de son </w:t>
      </w:r>
      <w:r w:rsidR="00F370D1">
        <w:rPr>
          <w:rFonts w:ascii="Times New Roman" w:hAnsi="Times New Roman" w:cs="Times New Roman"/>
        </w:rPr>
        <w:t>modèle d’</w:t>
      </w:r>
      <w:r>
        <w:rPr>
          <w:rFonts w:ascii="Times New Roman" w:hAnsi="Times New Roman" w:cs="Times New Roman"/>
        </w:rPr>
        <w:t xml:space="preserve">accord demeure différent. Pour reprendre les mots de Titi, on peut affirmer que la Commission européenne a ainsi délaissé son </w:t>
      </w:r>
      <w:r>
        <w:rPr>
          <w:rFonts w:ascii="Times New Roman" w:hAnsi="Times New Roman" w:cs="Times New Roman"/>
          <w:i/>
        </w:rPr>
        <w:t xml:space="preserve">gold standard </w:t>
      </w:r>
      <w:r>
        <w:rPr>
          <w:rFonts w:ascii="Times New Roman" w:hAnsi="Times New Roman" w:cs="Times New Roman"/>
        </w:rPr>
        <w:t xml:space="preserve">au profit d’un </w:t>
      </w:r>
      <w:proofErr w:type="spellStart"/>
      <w:r w:rsidR="003148AA">
        <w:rPr>
          <w:rFonts w:ascii="Times New Roman" w:hAnsi="Times New Roman" w:cs="Times New Roman"/>
          <w:i/>
        </w:rPr>
        <w:t>platinum</w:t>
      </w:r>
      <w:proofErr w:type="spellEnd"/>
      <w:r w:rsidR="003148AA">
        <w:rPr>
          <w:rFonts w:ascii="Times New Roman" w:hAnsi="Times New Roman" w:cs="Times New Roman"/>
          <w:i/>
        </w:rPr>
        <w:t xml:space="preserve"> standard</w:t>
      </w:r>
      <w:r w:rsidR="003148AA">
        <w:rPr>
          <w:rFonts w:ascii="Times New Roman" w:hAnsi="Times New Roman" w:cs="Times New Roman"/>
        </w:rPr>
        <w:t>.</w:t>
      </w:r>
      <w:r>
        <w:rPr>
          <w:rFonts w:ascii="Times New Roman" w:hAnsi="Times New Roman" w:cs="Times New Roman"/>
        </w:rPr>
        <w:t xml:space="preserve">  Au cours </w:t>
      </w:r>
      <w:r w:rsidR="00F370D1">
        <w:rPr>
          <w:rFonts w:ascii="Times New Roman" w:hAnsi="Times New Roman" w:cs="Times New Roman"/>
        </w:rPr>
        <w:t>des prochaines années, il sera</w:t>
      </w:r>
      <w:r>
        <w:rPr>
          <w:rFonts w:ascii="Times New Roman" w:hAnsi="Times New Roman" w:cs="Times New Roman"/>
        </w:rPr>
        <w:t xml:space="preserve"> intéressant de voir si la pression, notamment à cause des clauses NPF et du désir d’uniformiser la jurispr</w:t>
      </w:r>
      <w:r w:rsidR="00F370D1">
        <w:rPr>
          <w:rFonts w:ascii="Times New Roman" w:hAnsi="Times New Roman" w:cs="Times New Roman"/>
        </w:rPr>
        <w:t>udence, ne s’accentuera pas jusqu’à</w:t>
      </w:r>
      <w:r>
        <w:rPr>
          <w:rFonts w:ascii="Times New Roman" w:hAnsi="Times New Roman" w:cs="Times New Roman"/>
        </w:rPr>
        <w:t xml:space="preserve"> voir </w:t>
      </w:r>
      <w:proofErr w:type="spellStart"/>
      <w:r>
        <w:rPr>
          <w:rFonts w:ascii="Times New Roman" w:hAnsi="Times New Roman" w:cs="Times New Roman"/>
        </w:rPr>
        <w:t>apparaître</w:t>
      </w:r>
      <w:proofErr w:type="spellEnd"/>
      <w:r>
        <w:rPr>
          <w:rFonts w:ascii="Times New Roman" w:hAnsi="Times New Roman" w:cs="Times New Roman"/>
        </w:rPr>
        <w:t xml:space="preserve"> un modèle d’accord uniforme à travers le système inter</w:t>
      </w:r>
      <w:r w:rsidR="00F370D1">
        <w:rPr>
          <w:rFonts w:ascii="Times New Roman" w:hAnsi="Times New Roman" w:cs="Times New Roman"/>
        </w:rPr>
        <w:t>national. Cela pourrait notamment passer par la</w:t>
      </w:r>
      <w:r>
        <w:rPr>
          <w:rFonts w:ascii="Times New Roman" w:hAnsi="Times New Roman" w:cs="Times New Roman"/>
        </w:rPr>
        <w:t xml:space="preserve"> création d’un Cour permanente</w:t>
      </w:r>
      <w:r w:rsidR="00F370D1">
        <w:rPr>
          <w:rFonts w:ascii="Times New Roman" w:hAnsi="Times New Roman" w:cs="Times New Roman"/>
        </w:rPr>
        <w:t xml:space="preserve"> comme le propose actuellement l’Europe, voire</w:t>
      </w:r>
      <w:r>
        <w:rPr>
          <w:rFonts w:ascii="Times New Roman" w:hAnsi="Times New Roman" w:cs="Times New Roman"/>
        </w:rPr>
        <w:t xml:space="preserve"> </w:t>
      </w:r>
      <w:r w:rsidR="00F95595">
        <w:rPr>
          <w:rFonts w:ascii="Times New Roman" w:hAnsi="Times New Roman" w:cs="Times New Roman"/>
        </w:rPr>
        <w:t>la signature d’une</w:t>
      </w:r>
      <w:r>
        <w:rPr>
          <w:rFonts w:ascii="Times New Roman" w:hAnsi="Times New Roman" w:cs="Times New Roman"/>
        </w:rPr>
        <w:t xml:space="preserve"> convention multilatérale</w:t>
      </w:r>
      <w:r w:rsidR="00F95595">
        <w:rPr>
          <w:rFonts w:ascii="Times New Roman" w:hAnsi="Times New Roman" w:cs="Times New Roman"/>
        </w:rPr>
        <w:t xml:space="preserve">. Ces </w:t>
      </w:r>
      <w:r w:rsidR="00F370D1">
        <w:rPr>
          <w:rFonts w:ascii="Times New Roman" w:hAnsi="Times New Roman" w:cs="Times New Roman"/>
        </w:rPr>
        <w:t>éventualité</w:t>
      </w:r>
      <w:r w:rsidR="00F95595">
        <w:rPr>
          <w:rFonts w:ascii="Times New Roman" w:hAnsi="Times New Roman" w:cs="Times New Roman"/>
        </w:rPr>
        <w:t>s</w:t>
      </w:r>
      <w:r w:rsidR="00F370D1">
        <w:rPr>
          <w:rFonts w:ascii="Times New Roman" w:hAnsi="Times New Roman" w:cs="Times New Roman"/>
        </w:rPr>
        <w:t xml:space="preserve"> </w:t>
      </w:r>
      <w:r w:rsidR="00F95595">
        <w:rPr>
          <w:rFonts w:ascii="Times New Roman" w:hAnsi="Times New Roman" w:cs="Times New Roman"/>
        </w:rPr>
        <w:t xml:space="preserve">apparaissent </w:t>
      </w:r>
      <w:r>
        <w:rPr>
          <w:rFonts w:ascii="Times New Roman" w:hAnsi="Times New Roman" w:cs="Times New Roman"/>
        </w:rPr>
        <w:t xml:space="preserve">cependant </w:t>
      </w:r>
      <w:r w:rsidR="003148AA">
        <w:rPr>
          <w:rFonts w:ascii="Times New Roman" w:hAnsi="Times New Roman" w:cs="Times New Roman"/>
        </w:rPr>
        <w:t>pour le moins improbable</w:t>
      </w:r>
      <w:r w:rsidR="00F95595">
        <w:rPr>
          <w:rFonts w:ascii="Times New Roman" w:hAnsi="Times New Roman" w:cs="Times New Roman"/>
        </w:rPr>
        <w:t>s</w:t>
      </w:r>
      <w:r w:rsidR="003148AA">
        <w:rPr>
          <w:rFonts w:ascii="Times New Roman" w:hAnsi="Times New Roman" w:cs="Times New Roman"/>
        </w:rPr>
        <w:t xml:space="preserve"> dans un avenir proche et l’Europe risque bien de continuer à peaufiner son modèle au cours des </w:t>
      </w:r>
      <w:r w:rsidR="006D7BF4">
        <w:rPr>
          <w:rFonts w:ascii="Times New Roman" w:hAnsi="Times New Roman" w:cs="Times New Roman"/>
        </w:rPr>
        <w:t>prochaines</w:t>
      </w:r>
      <w:r w:rsidR="003148AA">
        <w:rPr>
          <w:rFonts w:ascii="Times New Roman" w:hAnsi="Times New Roman" w:cs="Times New Roman"/>
        </w:rPr>
        <w:t xml:space="preserve"> années.</w:t>
      </w:r>
    </w:p>
    <w:p w14:paraId="4BC40BC9" w14:textId="3B04FF34" w:rsidR="004E3590" w:rsidRDefault="004E3590" w:rsidP="004E3590">
      <w:pPr>
        <w:rPr>
          <w:rFonts w:ascii="Times New Roman" w:hAnsi="Times New Roman" w:cs="Times New Roman"/>
        </w:rPr>
      </w:pPr>
      <w:r>
        <w:rPr>
          <w:rFonts w:ascii="Times New Roman" w:hAnsi="Times New Roman" w:cs="Times New Roman"/>
        </w:rPr>
        <w:br w:type="page"/>
      </w:r>
    </w:p>
    <w:p w14:paraId="73ABF2A1" w14:textId="5DCC2E44" w:rsidR="00D33340" w:rsidRPr="008979BD" w:rsidRDefault="00D33340" w:rsidP="00D33340">
      <w:pPr>
        <w:pStyle w:val="Titre1"/>
        <w:jc w:val="center"/>
        <w:rPr>
          <w:rFonts w:ascii="Times New Roman" w:hAnsi="Times New Roman" w:cs="Times New Roman"/>
          <w:b/>
          <w:color w:val="auto"/>
          <w:sz w:val="28"/>
          <w:szCs w:val="28"/>
          <w:u w:val="single"/>
          <w:lang w:val="en-CA"/>
        </w:rPr>
      </w:pPr>
      <w:bookmarkStart w:id="31" w:name="_Toc313471483"/>
      <w:proofErr w:type="spellStart"/>
      <w:r w:rsidRPr="008979BD">
        <w:rPr>
          <w:rFonts w:ascii="Times New Roman" w:hAnsi="Times New Roman" w:cs="Times New Roman"/>
          <w:b/>
          <w:color w:val="auto"/>
          <w:sz w:val="28"/>
          <w:szCs w:val="28"/>
          <w:u w:val="single"/>
          <w:lang w:val="en-CA"/>
        </w:rPr>
        <w:lastRenderedPageBreak/>
        <w:t>Bibliographie</w:t>
      </w:r>
      <w:bookmarkEnd w:id="31"/>
      <w:proofErr w:type="spellEnd"/>
    </w:p>
    <w:p w14:paraId="7D17DA3D" w14:textId="77777777" w:rsidR="00D33340" w:rsidRPr="008979BD" w:rsidRDefault="00D33340" w:rsidP="00D33340">
      <w:pPr>
        <w:rPr>
          <w:lang w:val="en-CA"/>
        </w:rPr>
      </w:pPr>
    </w:p>
    <w:p w14:paraId="0DEAB7F7" w14:textId="77777777" w:rsidR="00D33340" w:rsidRPr="008979BD" w:rsidRDefault="00D33340" w:rsidP="00D33340">
      <w:pPr>
        <w:pStyle w:val="Listepuces"/>
        <w:numPr>
          <w:ilvl w:val="0"/>
          <w:numId w:val="0"/>
        </w:numPr>
        <w:ind w:left="357" w:hanging="357"/>
        <w:jc w:val="both"/>
        <w:rPr>
          <w:rFonts w:ascii="Times New Roman" w:hAnsi="Times New Roman" w:cs="Times New Roman"/>
          <w:smallCaps/>
          <w:sz w:val="28"/>
          <w:u w:val="single"/>
          <w:lang w:val="en-CA"/>
        </w:rPr>
      </w:pPr>
      <w:proofErr w:type="spellStart"/>
      <w:r w:rsidRPr="008979BD">
        <w:rPr>
          <w:rFonts w:ascii="Times New Roman" w:hAnsi="Times New Roman" w:cs="Times New Roman"/>
          <w:smallCaps/>
          <w:sz w:val="28"/>
          <w:u w:val="single"/>
          <w:lang w:val="en-CA"/>
        </w:rPr>
        <w:t>Littérature</w:t>
      </w:r>
      <w:proofErr w:type="spellEnd"/>
      <w:r w:rsidRPr="008979BD">
        <w:rPr>
          <w:rFonts w:ascii="Times New Roman" w:hAnsi="Times New Roman" w:cs="Times New Roman"/>
          <w:smallCaps/>
          <w:sz w:val="28"/>
          <w:u w:val="single"/>
          <w:lang w:val="en-CA"/>
        </w:rPr>
        <w:t xml:space="preserve"> scientifique</w:t>
      </w:r>
    </w:p>
    <w:p w14:paraId="00A04910" w14:textId="61B36A52"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Abbott </w:t>
      </w:r>
      <w:r w:rsidRPr="00D33340">
        <w:rPr>
          <w:rFonts w:ascii="Times New Roman" w:hAnsi="Times New Roman" w:cs="Times New Roman"/>
          <w:lang w:val="en-CA"/>
        </w:rPr>
        <w:t xml:space="preserve">Kenneth W., 2012, </w:t>
      </w:r>
      <w:r w:rsidR="004341E3">
        <w:rPr>
          <w:rFonts w:ascii="Times New Roman" w:hAnsi="Times New Roman" w:cs="Times New Roman"/>
          <w:lang w:val="en-CA"/>
        </w:rPr>
        <w:t>« The T</w:t>
      </w:r>
      <w:r w:rsidRPr="00D33340">
        <w:rPr>
          <w:rFonts w:ascii="Times New Roman" w:hAnsi="Times New Roman" w:cs="Times New Roman"/>
          <w:lang w:val="en-CA"/>
        </w:rPr>
        <w:t xml:space="preserve">ransnational Regime Complex for Climate Change », </w:t>
      </w:r>
      <w:r w:rsidRPr="00D33340">
        <w:rPr>
          <w:rFonts w:ascii="Times New Roman" w:hAnsi="Times New Roman" w:cs="Times New Roman"/>
          <w:i/>
          <w:lang w:val="en-CA"/>
        </w:rPr>
        <w:t xml:space="preserve">Government and Policy, </w:t>
      </w:r>
      <w:r w:rsidRPr="00D33340">
        <w:rPr>
          <w:rFonts w:ascii="Times New Roman" w:hAnsi="Times New Roman" w:cs="Times New Roman"/>
          <w:lang w:val="en-CA"/>
        </w:rPr>
        <w:t>Vol. 30,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571-590.</w:t>
      </w:r>
    </w:p>
    <w:p w14:paraId="201FA57C"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791C4223" w14:textId="05A737D9"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Allee</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Todd et Clint </w:t>
      </w:r>
      <w:proofErr w:type="spellStart"/>
      <w:r w:rsidRPr="00D33340">
        <w:rPr>
          <w:rFonts w:ascii="Times New Roman" w:hAnsi="Times New Roman" w:cs="Times New Roman"/>
          <w:smallCaps/>
          <w:lang w:val="en-CA"/>
        </w:rPr>
        <w:t>Peinhardt</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2010, « Delegating Differences: Bilateral Investment Treaties and Bargaining Over Dispute Resolution Provisions », </w:t>
      </w:r>
      <w:r w:rsidRPr="00D33340">
        <w:rPr>
          <w:rFonts w:ascii="Times New Roman" w:hAnsi="Times New Roman" w:cs="Times New Roman"/>
          <w:i/>
          <w:lang w:val="en-CA"/>
        </w:rPr>
        <w:t xml:space="preserve">International Studies </w:t>
      </w:r>
      <w:proofErr w:type="spellStart"/>
      <w:r w:rsidRPr="00D33340">
        <w:rPr>
          <w:rFonts w:ascii="Times New Roman" w:hAnsi="Times New Roman" w:cs="Times New Roman"/>
          <w:i/>
          <w:lang w:val="en-CA"/>
        </w:rPr>
        <w:t>Quaterly</w:t>
      </w:r>
      <w:proofErr w:type="spellEnd"/>
      <w:r w:rsidRPr="00D33340">
        <w:rPr>
          <w:rFonts w:ascii="Times New Roman" w:hAnsi="Times New Roman" w:cs="Times New Roman"/>
          <w:i/>
          <w:lang w:val="en-CA"/>
        </w:rPr>
        <w:t xml:space="preserve">, </w:t>
      </w:r>
      <w:r w:rsidR="004146C1">
        <w:rPr>
          <w:rFonts w:ascii="Times New Roman" w:hAnsi="Times New Roman" w:cs="Times New Roman"/>
          <w:lang w:val="en-CA"/>
        </w:rPr>
        <w:t>Vol. </w:t>
      </w:r>
      <w:r w:rsidRPr="00D33340">
        <w:rPr>
          <w:rFonts w:ascii="Times New Roman" w:hAnsi="Times New Roman" w:cs="Times New Roman"/>
          <w:lang w:val="en-CA"/>
        </w:rPr>
        <w:t>54,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1 :1-26.</w:t>
      </w:r>
    </w:p>
    <w:p w14:paraId="4C2237FB"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57CA72C5"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Alter </w:t>
      </w:r>
      <w:r w:rsidRPr="00D33340">
        <w:rPr>
          <w:rFonts w:ascii="Times New Roman" w:hAnsi="Times New Roman" w:cs="Times New Roman"/>
          <w:lang w:val="en-CA"/>
        </w:rPr>
        <w:t xml:space="preserve">Karen J. et Sophie </w:t>
      </w:r>
      <w:proofErr w:type="spellStart"/>
      <w:r w:rsidRPr="00D33340">
        <w:rPr>
          <w:rFonts w:ascii="Times New Roman" w:hAnsi="Times New Roman" w:cs="Times New Roman"/>
          <w:smallCaps/>
          <w:lang w:val="en-CA"/>
        </w:rPr>
        <w:t>Meunier</w:t>
      </w:r>
      <w:proofErr w:type="spellEnd"/>
      <w:r w:rsidRPr="00D33340">
        <w:rPr>
          <w:rFonts w:ascii="Times New Roman" w:hAnsi="Times New Roman" w:cs="Times New Roman"/>
          <w:smallCaps/>
          <w:lang w:val="en-CA"/>
        </w:rPr>
        <w:t xml:space="preserve">, 2009, « </w:t>
      </w:r>
      <w:r w:rsidRPr="00D33340">
        <w:rPr>
          <w:rFonts w:ascii="Times New Roman" w:hAnsi="Times New Roman" w:cs="Times New Roman"/>
          <w:lang w:val="en-CA"/>
        </w:rPr>
        <w:t xml:space="preserve">The Politics of International Regime Complexity », </w:t>
      </w:r>
      <w:r w:rsidRPr="00D33340">
        <w:rPr>
          <w:rFonts w:ascii="Times New Roman" w:hAnsi="Times New Roman" w:cs="Times New Roman"/>
          <w:i/>
          <w:lang w:val="en-CA"/>
        </w:rPr>
        <w:t xml:space="preserve">Perspectives on Politics, </w:t>
      </w:r>
      <w:r w:rsidRPr="00D33340">
        <w:rPr>
          <w:rFonts w:ascii="Times New Roman" w:hAnsi="Times New Roman" w:cs="Times New Roman"/>
          <w:lang w:val="en-CA"/>
        </w:rPr>
        <w:t>Vol. 7,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13-24.</w:t>
      </w:r>
    </w:p>
    <w:p w14:paraId="0CA1E090"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3930A47E"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Alter </w:t>
      </w:r>
      <w:r w:rsidRPr="00D33340">
        <w:rPr>
          <w:rFonts w:ascii="Times New Roman" w:hAnsi="Times New Roman" w:cs="Times New Roman"/>
          <w:lang w:val="en-CA"/>
        </w:rPr>
        <w:t xml:space="preserve">Karen J. et Sophie </w:t>
      </w:r>
      <w:proofErr w:type="spellStart"/>
      <w:r w:rsidRPr="00D33340">
        <w:rPr>
          <w:rFonts w:ascii="Times New Roman" w:hAnsi="Times New Roman" w:cs="Times New Roman"/>
          <w:smallCaps/>
          <w:lang w:val="en-CA"/>
        </w:rPr>
        <w:t>Meunier</w:t>
      </w:r>
      <w:proofErr w:type="spellEnd"/>
      <w:r w:rsidRPr="00D33340">
        <w:rPr>
          <w:rFonts w:ascii="Times New Roman" w:hAnsi="Times New Roman" w:cs="Times New Roman"/>
          <w:smallCaps/>
          <w:lang w:val="en-CA"/>
        </w:rPr>
        <w:t xml:space="preserve">, 2006, « </w:t>
      </w:r>
      <w:r w:rsidRPr="00D33340">
        <w:rPr>
          <w:rFonts w:ascii="Times New Roman" w:hAnsi="Times New Roman" w:cs="Times New Roman"/>
          <w:lang w:val="en-CA"/>
        </w:rPr>
        <w:t xml:space="preserve">Nested and Overlapping Regimes in the Transatlantic Banana Trade Dispute », </w:t>
      </w:r>
      <w:r w:rsidRPr="00D33340">
        <w:rPr>
          <w:rFonts w:ascii="Times New Roman" w:hAnsi="Times New Roman" w:cs="Times New Roman"/>
          <w:i/>
          <w:lang w:val="en-CA"/>
        </w:rPr>
        <w:t>J</w:t>
      </w:r>
      <w:r w:rsidRPr="00D33340">
        <w:rPr>
          <w:rFonts w:ascii="Times" w:hAnsi="Times" w:cs="Times"/>
          <w:i/>
          <w:lang w:val="en-CA"/>
        </w:rPr>
        <w:t>ournal of European Public Policy</w:t>
      </w:r>
      <w:r w:rsidRPr="00D33340">
        <w:rPr>
          <w:rFonts w:ascii="Times" w:hAnsi="Times" w:cs="Times"/>
          <w:lang w:val="en-CA"/>
        </w:rPr>
        <w:t>, Vol. 13, n</w:t>
      </w:r>
      <w:r w:rsidRPr="00D33340">
        <w:rPr>
          <w:rFonts w:ascii="Times" w:hAnsi="Times" w:cs="Times"/>
          <w:vertAlign w:val="superscript"/>
          <w:lang w:val="en-CA"/>
        </w:rPr>
        <w:t xml:space="preserve">o </w:t>
      </w:r>
      <w:proofErr w:type="gramStart"/>
      <w:r w:rsidRPr="00D33340">
        <w:rPr>
          <w:rFonts w:ascii="Times" w:hAnsi="Times" w:cs="Times"/>
          <w:lang w:val="en-CA"/>
        </w:rPr>
        <w:t>3 :</w:t>
      </w:r>
      <w:proofErr w:type="gramEnd"/>
      <w:r w:rsidRPr="00D33340">
        <w:rPr>
          <w:rFonts w:ascii="Times" w:hAnsi="Times" w:cs="Times"/>
          <w:lang w:val="en-CA"/>
        </w:rPr>
        <w:t xml:space="preserve"> 362-382.</w:t>
      </w:r>
    </w:p>
    <w:p w14:paraId="1A2347BF" w14:textId="77777777" w:rsidR="00D33340" w:rsidRPr="00D33340" w:rsidRDefault="00D33340" w:rsidP="00D33340">
      <w:pPr>
        <w:pStyle w:val="Listepuces"/>
        <w:numPr>
          <w:ilvl w:val="0"/>
          <w:numId w:val="0"/>
        </w:numPr>
        <w:ind w:left="357" w:hanging="357"/>
        <w:jc w:val="both"/>
        <w:rPr>
          <w:rFonts w:ascii="Times New Roman" w:hAnsi="Times New Roman" w:cs="Times New Roman"/>
          <w:smallCaps/>
          <w:sz w:val="10"/>
          <w:lang w:val="en-CA"/>
        </w:rPr>
      </w:pPr>
    </w:p>
    <w:p w14:paraId="56843949"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Alschner</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Wolfgang, 2013, « Americanization of the BIT Universe: The Influence of Friendship, Commerce and Navigation (FCN) Treaties on Modern Investment Treaty Law », </w:t>
      </w:r>
      <w:proofErr w:type="spellStart"/>
      <w:r w:rsidRPr="00D33340">
        <w:rPr>
          <w:rFonts w:ascii="Times New Roman" w:hAnsi="Times New Roman" w:cs="Times New Roman"/>
          <w:i/>
          <w:lang w:val="en-CA"/>
        </w:rPr>
        <w:t>Goettingen</w:t>
      </w:r>
      <w:proofErr w:type="spellEnd"/>
      <w:r w:rsidRPr="00D33340">
        <w:rPr>
          <w:rFonts w:ascii="Times New Roman" w:hAnsi="Times New Roman" w:cs="Times New Roman"/>
          <w:i/>
          <w:lang w:val="en-CA"/>
        </w:rPr>
        <w:t xml:space="preserve"> Journal of International Law</w:t>
      </w:r>
      <w:r w:rsidRPr="00D33340">
        <w:rPr>
          <w:rFonts w:ascii="Times New Roman" w:hAnsi="Times New Roman" w:cs="Times New Roman"/>
          <w:lang w:val="en-CA"/>
        </w:rPr>
        <w:t>, Vol. 5,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455-486.</w:t>
      </w:r>
    </w:p>
    <w:p w14:paraId="299689A0"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0F2A8C61" w14:textId="77777777" w:rsidR="00D33340" w:rsidRPr="00D33340" w:rsidRDefault="00D33340" w:rsidP="00D33340">
      <w:pPr>
        <w:pStyle w:val="Listepuces"/>
        <w:numPr>
          <w:ilvl w:val="0"/>
          <w:numId w:val="0"/>
        </w:numPr>
        <w:ind w:left="360" w:hanging="360"/>
        <w:jc w:val="both"/>
        <w:rPr>
          <w:rFonts w:ascii="Times New Roman" w:hAnsi="Times New Roman" w:cs="Times New Roman"/>
          <w:smallCaps/>
          <w:lang w:val="en-CA"/>
        </w:rPr>
      </w:pPr>
      <w:proofErr w:type="spellStart"/>
      <w:r w:rsidRPr="00D33340">
        <w:rPr>
          <w:rFonts w:ascii="Times New Roman" w:hAnsi="Times New Roman" w:cs="Times New Roman"/>
          <w:smallCaps/>
          <w:lang w:val="en-CA"/>
        </w:rPr>
        <w:t>Beatens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Freya, 2013, « No Law is an Island, Entire of Itself – How International Investment Law Interacts with Other Fields of Public International Law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F. </w:t>
      </w:r>
      <w:proofErr w:type="spellStart"/>
      <w:r w:rsidRPr="00D33340">
        <w:rPr>
          <w:rFonts w:ascii="Times New Roman" w:hAnsi="Times New Roman" w:cs="Times New Roman"/>
          <w:smallCaps/>
          <w:lang w:val="en-CA"/>
        </w:rPr>
        <w:t>Beatens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i/>
          <w:lang w:val="en-CA"/>
        </w:rPr>
        <w:t>Investment Law Within International Law: Integrationist Perspectives</w:t>
      </w:r>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New-York, Cambridge University </w:t>
      </w:r>
      <w:proofErr w:type="gramStart"/>
      <w:r w:rsidRPr="00D33340">
        <w:rPr>
          <w:rFonts w:ascii="Times New Roman" w:hAnsi="Times New Roman" w:cs="Times New Roman"/>
          <w:lang w:val="en-CA"/>
        </w:rPr>
        <w:t>Press :</w:t>
      </w:r>
      <w:proofErr w:type="gramEnd"/>
      <w:r w:rsidRPr="00D33340">
        <w:rPr>
          <w:rFonts w:ascii="Times New Roman" w:hAnsi="Times New Roman" w:cs="Times New Roman"/>
          <w:lang w:val="en-CA"/>
        </w:rPr>
        <w:t xml:space="preserve"> 1-17.</w:t>
      </w:r>
    </w:p>
    <w:p w14:paraId="6E582320" w14:textId="77777777" w:rsidR="00D33340" w:rsidRPr="00D33340" w:rsidRDefault="00D33340" w:rsidP="00D33340">
      <w:pPr>
        <w:pStyle w:val="Listepuces"/>
        <w:numPr>
          <w:ilvl w:val="0"/>
          <w:numId w:val="0"/>
        </w:numPr>
        <w:jc w:val="both"/>
        <w:rPr>
          <w:rFonts w:ascii="Times New Roman" w:hAnsi="Times New Roman" w:cs="Times New Roman"/>
          <w:sz w:val="10"/>
          <w:lang w:val="en-CA"/>
        </w:rPr>
      </w:pPr>
    </w:p>
    <w:p w14:paraId="4648842D"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Bernasconi-Osterwalder</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Nathalie, 2013, « Commentary to the Draft Investment Chapter of the Canada-EU Comprehensive Economic and Trade Agreement (CETA) », </w:t>
      </w:r>
      <w:r w:rsidRPr="00D33340">
        <w:rPr>
          <w:rFonts w:ascii="Times New Roman" w:hAnsi="Times New Roman" w:cs="Times New Roman"/>
          <w:i/>
          <w:lang w:val="en-CA"/>
        </w:rPr>
        <w:t xml:space="preserve">IISD </w:t>
      </w:r>
      <w:proofErr w:type="gramStart"/>
      <w:r w:rsidRPr="00D33340">
        <w:rPr>
          <w:rFonts w:ascii="Times New Roman" w:hAnsi="Times New Roman" w:cs="Times New Roman"/>
          <w:i/>
          <w:lang w:val="en-CA"/>
        </w:rPr>
        <w:t>Report </w:t>
      </w:r>
      <w:r w:rsidRPr="00D33340">
        <w:rPr>
          <w:rFonts w:ascii="Times New Roman" w:hAnsi="Times New Roman" w:cs="Times New Roman"/>
          <w:lang w:val="en-CA"/>
        </w:rPr>
        <w:t>:</w:t>
      </w:r>
      <w:proofErr w:type="gramEnd"/>
      <w:r w:rsidRPr="00D33340">
        <w:rPr>
          <w:rFonts w:ascii="Times New Roman" w:hAnsi="Times New Roman" w:cs="Times New Roman"/>
          <w:lang w:val="en-CA"/>
        </w:rPr>
        <w:t xml:space="preserve"> 1-31.</w:t>
      </w:r>
    </w:p>
    <w:p w14:paraId="67038E6F"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E7C1B3C"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Betts </w:t>
      </w:r>
      <w:r w:rsidRPr="00D33340">
        <w:rPr>
          <w:rFonts w:ascii="Times New Roman" w:hAnsi="Times New Roman" w:cs="Times New Roman"/>
          <w:lang w:val="en-CA"/>
        </w:rPr>
        <w:t xml:space="preserve">Alexander, 2010, « The Refugee Regime Complex », </w:t>
      </w:r>
      <w:r w:rsidRPr="00D33340">
        <w:rPr>
          <w:rFonts w:ascii="Times New Roman" w:hAnsi="Times New Roman" w:cs="Times New Roman"/>
          <w:i/>
          <w:lang w:val="en-CA"/>
        </w:rPr>
        <w:t>Refugee Survey Quarterly</w:t>
      </w:r>
      <w:r w:rsidRPr="00D33340">
        <w:rPr>
          <w:rFonts w:ascii="Times New Roman" w:hAnsi="Times New Roman" w:cs="Times New Roman"/>
          <w:lang w:val="en-CA"/>
        </w:rPr>
        <w:t>, Vol. 29,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13-37.</w:t>
      </w:r>
    </w:p>
    <w:p w14:paraId="4A2D7748" w14:textId="77777777" w:rsidR="00D33340" w:rsidRPr="00D33340" w:rsidRDefault="00D33340" w:rsidP="00D33340">
      <w:pPr>
        <w:pStyle w:val="Listepuces"/>
        <w:numPr>
          <w:ilvl w:val="0"/>
          <w:numId w:val="0"/>
        </w:numPr>
        <w:jc w:val="both"/>
        <w:rPr>
          <w:rFonts w:ascii="Times New Roman" w:hAnsi="Times New Roman" w:cs="Times New Roman"/>
          <w:sz w:val="10"/>
          <w:lang w:val="en-CA"/>
        </w:rPr>
      </w:pPr>
    </w:p>
    <w:p w14:paraId="4D45DE9F"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Bonzon</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Anne-Juliette, 2014, « Balance Between Investment Protection and Sustainable Development in BITs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5-</w:t>
      </w:r>
      <w:proofErr w:type="gramStart"/>
      <w:r w:rsidRPr="00D33340">
        <w:rPr>
          <w:rFonts w:ascii="Times New Roman" w:hAnsi="Times New Roman" w:cs="Times New Roman"/>
          <w:lang w:val="en-CA"/>
        </w:rPr>
        <w:t>6 :</w:t>
      </w:r>
      <w:proofErr w:type="gramEnd"/>
      <w:r w:rsidRPr="00D33340">
        <w:rPr>
          <w:rFonts w:ascii="Times New Roman" w:hAnsi="Times New Roman" w:cs="Times New Roman"/>
          <w:lang w:val="en-CA"/>
        </w:rPr>
        <w:t xml:space="preserve"> 809-826.</w:t>
      </w:r>
    </w:p>
    <w:p w14:paraId="0C7A4EF5"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4B33D4A3"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Bungenberg</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Marc, 2014, « The Scope of Application of EU (Model) Investment Agreements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402-421.</w:t>
      </w:r>
    </w:p>
    <w:p w14:paraId="1E713D92"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7953C109" w14:textId="3439B1F1"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Bungenberg</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Marc et August </w:t>
      </w:r>
      <w:proofErr w:type="spellStart"/>
      <w:r w:rsidRPr="00D33340">
        <w:rPr>
          <w:rFonts w:ascii="Times New Roman" w:hAnsi="Times New Roman" w:cs="Times New Roman"/>
          <w:smallCaps/>
          <w:lang w:val="en-CA"/>
        </w:rPr>
        <w:t>Reinisch</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2014, « T</w:t>
      </w:r>
      <w:r w:rsidR="004341E3">
        <w:rPr>
          <w:rFonts w:ascii="Times New Roman" w:hAnsi="Times New Roman" w:cs="Times New Roman"/>
          <w:lang w:val="en-CA"/>
        </w:rPr>
        <w:t xml:space="preserve">he Anatomy </w:t>
      </w:r>
      <w:r w:rsidR="00D6628D">
        <w:rPr>
          <w:rFonts w:ascii="Times New Roman" w:hAnsi="Times New Roman" w:cs="Times New Roman"/>
          <w:lang w:val="en-CA"/>
        </w:rPr>
        <w:t>of the (Invisible) EU Model BIT </w:t>
      </w:r>
      <w:r w:rsidRPr="00D33340">
        <w:rPr>
          <w:rFonts w:ascii="Times New Roman" w:hAnsi="Times New Roman" w:cs="Times New Roman"/>
          <w:lang w:val="en-CA"/>
        </w:rPr>
        <w:t xml:space="preserve">»,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375-378.</w:t>
      </w:r>
    </w:p>
    <w:p w14:paraId="1D215C8D"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23E83E74"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Busch </w:t>
      </w:r>
      <w:r w:rsidRPr="00D33340">
        <w:rPr>
          <w:rFonts w:ascii="Times New Roman" w:hAnsi="Times New Roman" w:cs="Times New Roman"/>
          <w:lang w:val="en-CA"/>
        </w:rPr>
        <w:t xml:space="preserve">Marc L., 2007, « Overlapping Institutions, Forum Shopping, and Dispute Settlement in International Trade », </w:t>
      </w:r>
      <w:r w:rsidRPr="00D33340">
        <w:rPr>
          <w:rFonts w:ascii="Times New Roman" w:hAnsi="Times New Roman" w:cs="Times New Roman"/>
          <w:i/>
          <w:lang w:val="en-CA"/>
        </w:rPr>
        <w:t>International Organization</w:t>
      </w:r>
      <w:r w:rsidRPr="00D33340">
        <w:rPr>
          <w:rFonts w:ascii="Times New Roman" w:hAnsi="Times New Roman" w:cs="Times New Roman"/>
          <w:lang w:val="en-CA"/>
        </w:rPr>
        <w:t>, Vol. 61,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735-761.</w:t>
      </w:r>
    </w:p>
    <w:p w14:paraId="1FB0A895"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574017B2"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Brown </w:t>
      </w:r>
      <w:r w:rsidRPr="00D33340">
        <w:rPr>
          <w:rFonts w:ascii="Times New Roman" w:hAnsi="Times New Roman" w:cs="Times New Roman"/>
          <w:lang w:val="en-CA"/>
        </w:rPr>
        <w:t xml:space="preserve">Chester, 2013, </w:t>
      </w:r>
      <w:r w:rsidRPr="00D33340">
        <w:rPr>
          <w:rFonts w:ascii="Times New Roman" w:hAnsi="Times New Roman" w:cs="Times New Roman"/>
          <w:i/>
          <w:lang w:val="en-CA"/>
        </w:rPr>
        <w:t>Commentaries on Selected Model Investment Treaties (</w:t>
      </w:r>
      <w:r w:rsidRPr="00D33340">
        <w:rPr>
          <w:rFonts w:ascii="Times New Roman" w:hAnsi="Times New Roman" w:cs="Times New Roman"/>
          <w:lang w:val="en-CA"/>
        </w:rPr>
        <w:t>1</w:t>
      </w:r>
      <w:r w:rsidRPr="00D33340">
        <w:rPr>
          <w:rFonts w:ascii="Times New Roman" w:hAnsi="Times New Roman" w:cs="Times New Roman"/>
          <w:vertAlign w:val="superscript"/>
          <w:lang w:val="en-CA"/>
        </w:rPr>
        <w:t>ère</w:t>
      </w:r>
      <w:r w:rsidRPr="00D33340">
        <w:rPr>
          <w:rFonts w:ascii="Times New Roman" w:hAnsi="Times New Roman" w:cs="Times New Roman"/>
          <w:lang w:val="en-CA"/>
        </w:rPr>
        <w:t xml:space="preserve"> </w:t>
      </w:r>
      <w:proofErr w:type="spellStart"/>
      <w:r w:rsidRPr="00D33340">
        <w:rPr>
          <w:rFonts w:ascii="Times New Roman" w:hAnsi="Times New Roman" w:cs="Times New Roman"/>
          <w:lang w:val="en-CA"/>
        </w:rPr>
        <w:t>éd</w:t>
      </w:r>
      <w:proofErr w:type="spellEnd"/>
      <w:r w:rsidRPr="00D33340">
        <w:rPr>
          <w:rFonts w:ascii="Times New Roman" w:hAnsi="Times New Roman" w:cs="Times New Roman"/>
          <w:lang w:val="en-CA"/>
        </w:rPr>
        <w:t>.), Oxford, Oxford University Press.</w:t>
      </w:r>
    </w:p>
    <w:p w14:paraId="50D9F103"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53FFE8C4" w14:textId="6906FC4F"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Brown </w:t>
      </w:r>
      <w:r w:rsidRPr="00D33340">
        <w:rPr>
          <w:rFonts w:ascii="Times New Roman" w:hAnsi="Times New Roman" w:cs="Times New Roman"/>
          <w:lang w:val="en-CA"/>
        </w:rPr>
        <w:t xml:space="preserve">Colin et </w:t>
      </w:r>
      <w:proofErr w:type="spellStart"/>
      <w:r w:rsidRPr="00D33340">
        <w:rPr>
          <w:rFonts w:ascii="Times New Roman" w:hAnsi="Times New Roman" w:cs="Times New Roman"/>
          <w:lang w:val="en-CA"/>
        </w:rPr>
        <w:t>Ilmãrs</w:t>
      </w:r>
      <w:proofErr w:type="spellEnd"/>
      <w:r w:rsidRPr="00D33340">
        <w:rPr>
          <w:rFonts w:ascii="Times New Roman" w:hAnsi="Times New Roman" w:cs="Times New Roman"/>
          <w:lang w:val="en-CA"/>
        </w:rPr>
        <w:t xml:space="preserve"> </w:t>
      </w:r>
      <w:proofErr w:type="spellStart"/>
      <w:r w:rsidRPr="00D33340">
        <w:rPr>
          <w:rFonts w:ascii="Times New Roman" w:hAnsi="Times New Roman" w:cs="Times New Roman"/>
          <w:smallCaps/>
          <w:lang w:val="en-CA"/>
        </w:rPr>
        <w:t>Naglis</w:t>
      </w:r>
      <w:proofErr w:type="spellEnd"/>
      <w:r w:rsidRPr="00D33340">
        <w:rPr>
          <w:rFonts w:ascii="Times New Roman" w:hAnsi="Times New Roman" w:cs="Times New Roman"/>
          <w:smallCaps/>
          <w:lang w:val="en-CA"/>
        </w:rPr>
        <w:t xml:space="preserve">, 2013 « </w:t>
      </w:r>
      <w:r w:rsidRPr="00D33340">
        <w:rPr>
          <w:rFonts w:ascii="Times New Roman" w:hAnsi="Times New Roman" w:cs="Times New Roman"/>
          <w:lang w:val="en-CA"/>
        </w:rPr>
        <w:t xml:space="preserve">Dispute Settlement in </w:t>
      </w:r>
      <w:r w:rsidR="00D6628D">
        <w:rPr>
          <w:rFonts w:ascii="Times New Roman" w:hAnsi="Times New Roman" w:cs="Times New Roman"/>
          <w:lang w:val="en-CA"/>
        </w:rPr>
        <w:t>Future EU Investment Agreements </w:t>
      </w:r>
      <w:r w:rsidRPr="00D33340">
        <w:rPr>
          <w:rFonts w:ascii="Times New Roman" w:hAnsi="Times New Roman" w:cs="Times New Roman"/>
          <w:lang w:val="en-CA"/>
        </w:rPr>
        <w:t xml:space="preserve">»,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M. </w:t>
      </w:r>
      <w:proofErr w:type="spellStart"/>
      <w:r w:rsidRPr="00D33340">
        <w:rPr>
          <w:rFonts w:ascii="Times New Roman" w:hAnsi="Times New Roman" w:cs="Times New Roman"/>
          <w:smallCaps/>
          <w:lang w:val="en-CA"/>
        </w:rPr>
        <w:t>Bungenberg</w:t>
      </w:r>
      <w:proofErr w:type="spellEnd"/>
      <w:r w:rsidRPr="00D33340">
        <w:rPr>
          <w:rFonts w:ascii="Times New Roman" w:hAnsi="Times New Roman" w:cs="Times New Roman"/>
          <w:smallCaps/>
          <w:lang w:val="en-CA"/>
        </w:rPr>
        <w:t xml:space="preserve">, A. </w:t>
      </w:r>
      <w:proofErr w:type="spellStart"/>
      <w:r w:rsidRPr="00D33340">
        <w:rPr>
          <w:rFonts w:ascii="Times New Roman" w:hAnsi="Times New Roman" w:cs="Times New Roman"/>
          <w:smallCaps/>
          <w:lang w:val="en-CA"/>
        </w:rPr>
        <w:t>Reinisch</w:t>
      </w:r>
      <w:proofErr w:type="spellEnd"/>
      <w:r w:rsidRPr="00D33340">
        <w:rPr>
          <w:rFonts w:ascii="Times New Roman" w:hAnsi="Times New Roman" w:cs="Times New Roman"/>
          <w:smallCaps/>
          <w:lang w:val="en-CA"/>
        </w:rPr>
        <w:t xml:space="preserve">, C. </w:t>
      </w:r>
      <w:proofErr w:type="spellStart"/>
      <w:r w:rsidRPr="00D33340">
        <w:rPr>
          <w:rFonts w:ascii="Times New Roman" w:hAnsi="Times New Roman" w:cs="Times New Roman"/>
          <w:smallCaps/>
          <w:lang w:val="en-CA"/>
        </w:rPr>
        <w:t>Tietje</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dir.), </w:t>
      </w:r>
      <w:r w:rsidRPr="00D33340">
        <w:rPr>
          <w:rFonts w:ascii="Times New Roman" w:hAnsi="Times New Roman" w:cs="Times New Roman"/>
          <w:i/>
          <w:lang w:val="en-CA"/>
        </w:rPr>
        <w:t>EU and Investment Agreements: Open Questions and Remaining Challenges</w:t>
      </w:r>
      <w:r w:rsidRPr="00D33340">
        <w:rPr>
          <w:rFonts w:ascii="Times New Roman" w:hAnsi="Times New Roman" w:cs="Times New Roman"/>
          <w:lang w:val="en-CA"/>
        </w:rPr>
        <w:t xml:space="preserve">, Baden-Baden, </w:t>
      </w:r>
      <w:proofErr w:type="spellStart"/>
      <w:proofErr w:type="gramStart"/>
      <w:r w:rsidRPr="00D33340">
        <w:rPr>
          <w:rFonts w:ascii="Times New Roman" w:hAnsi="Times New Roman" w:cs="Times New Roman"/>
          <w:lang w:val="en-CA"/>
        </w:rPr>
        <w:t>Nomos</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17-35.</w:t>
      </w:r>
    </w:p>
    <w:p w14:paraId="1B917787"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36A34518" w14:textId="405B041C" w:rsidR="00D33340" w:rsidRPr="00D33340" w:rsidRDefault="004341E3" w:rsidP="00D33340">
      <w:pPr>
        <w:pStyle w:val="Listepuces"/>
        <w:numPr>
          <w:ilvl w:val="0"/>
          <w:numId w:val="0"/>
        </w:numPr>
        <w:ind w:left="357" w:hanging="357"/>
        <w:jc w:val="both"/>
        <w:rPr>
          <w:rFonts w:ascii="Times New Roman" w:hAnsi="Times New Roman" w:cs="Times New Roman"/>
          <w:lang w:val="en-CA"/>
        </w:rPr>
      </w:pPr>
      <w:proofErr w:type="spellStart"/>
      <w:r>
        <w:rPr>
          <w:rFonts w:ascii="Times New Roman" w:hAnsi="Times New Roman" w:cs="Times New Roman"/>
          <w:smallCaps/>
          <w:lang w:val="en-CA"/>
        </w:rPr>
        <w:t>Calamita</w:t>
      </w:r>
      <w:proofErr w:type="spellEnd"/>
      <w:r>
        <w:rPr>
          <w:rFonts w:ascii="Times New Roman" w:hAnsi="Times New Roman" w:cs="Times New Roman"/>
          <w:smallCaps/>
          <w:lang w:val="en-CA"/>
        </w:rPr>
        <w:t xml:space="preserve"> N. </w:t>
      </w:r>
      <w:r w:rsidR="00D33340" w:rsidRPr="00D33340">
        <w:rPr>
          <w:rFonts w:ascii="Times New Roman" w:hAnsi="Times New Roman" w:cs="Times New Roman"/>
          <w:lang w:val="en-CA"/>
        </w:rPr>
        <w:t>Jansen, 2012, «</w:t>
      </w:r>
      <w:r>
        <w:rPr>
          <w:rFonts w:ascii="Times New Roman" w:hAnsi="Times New Roman" w:cs="Times New Roman"/>
          <w:lang w:val="en-CA"/>
        </w:rPr>
        <w:t xml:space="preserve"> </w:t>
      </w:r>
      <w:r w:rsidR="00D33340" w:rsidRPr="00D33340">
        <w:rPr>
          <w:rFonts w:ascii="Times New Roman" w:hAnsi="Times New Roman" w:cs="Times New Roman"/>
          <w:lang w:val="en-CA"/>
        </w:rPr>
        <w:t xml:space="preserve">The Making of Europe’s International Investment Policy: Uncertain First Steps », </w:t>
      </w:r>
      <w:r w:rsidR="00D33340" w:rsidRPr="00D33340">
        <w:rPr>
          <w:rFonts w:ascii="Times New Roman" w:hAnsi="Times New Roman" w:cs="Times New Roman"/>
          <w:i/>
          <w:lang w:val="en-CA"/>
        </w:rPr>
        <w:t>Legal Issues of Economic Integration</w:t>
      </w:r>
      <w:r w:rsidR="00D33340" w:rsidRPr="00D33340">
        <w:rPr>
          <w:rFonts w:ascii="Times New Roman" w:hAnsi="Times New Roman" w:cs="Times New Roman"/>
          <w:lang w:val="en-CA"/>
        </w:rPr>
        <w:t>, Vol. 39, n</w:t>
      </w:r>
      <w:r w:rsidR="00D33340" w:rsidRPr="00D33340">
        <w:rPr>
          <w:rFonts w:ascii="Times New Roman" w:hAnsi="Times New Roman" w:cs="Times New Roman"/>
          <w:vertAlign w:val="superscript"/>
          <w:lang w:val="en-CA"/>
        </w:rPr>
        <w:t>o</w:t>
      </w:r>
      <w:r w:rsidR="00D33340" w:rsidRPr="00D33340">
        <w:rPr>
          <w:rFonts w:ascii="Times New Roman" w:hAnsi="Times New Roman" w:cs="Times New Roman"/>
          <w:lang w:val="en-CA"/>
        </w:rPr>
        <w:t xml:space="preserve"> </w:t>
      </w:r>
      <w:proofErr w:type="gramStart"/>
      <w:r w:rsidR="00D33340" w:rsidRPr="00D33340">
        <w:rPr>
          <w:rFonts w:ascii="Times New Roman" w:hAnsi="Times New Roman" w:cs="Times New Roman"/>
          <w:lang w:val="en-CA"/>
        </w:rPr>
        <w:t>3 :</w:t>
      </w:r>
      <w:proofErr w:type="gramEnd"/>
      <w:r w:rsidR="00D33340" w:rsidRPr="00D33340">
        <w:rPr>
          <w:rFonts w:ascii="Times New Roman" w:hAnsi="Times New Roman" w:cs="Times New Roman"/>
          <w:lang w:val="en-CA"/>
        </w:rPr>
        <w:t xml:space="preserve"> 301-330.</w:t>
      </w:r>
    </w:p>
    <w:p w14:paraId="309E7566"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6CCA268C" w14:textId="07C8B87E" w:rsidR="004341E3" w:rsidRDefault="004341E3" w:rsidP="00344B01">
      <w:pPr>
        <w:pStyle w:val="Listepuces"/>
        <w:numPr>
          <w:ilvl w:val="0"/>
          <w:numId w:val="0"/>
        </w:numPr>
        <w:ind w:left="360" w:hanging="360"/>
        <w:jc w:val="both"/>
        <w:rPr>
          <w:rFonts w:ascii="Times New Roman" w:hAnsi="Times New Roman" w:cs="Times New Roman"/>
          <w:lang w:val="en-CA"/>
        </w:rPr>
      </w:pPr>
      <w:proofErr w:type="spellStart"/>
      <w:r>
        <w:rPr>
          <w:rFonts w:ascii="Times New Roman" w:hAnsi="Times New Roman" w:cs="Times New Roman"/>
          <w:smallCaps/>
          <w:lang w:val="en-CA"/>
        </w:rPr>
        <w:lastRenderedPageBreak/>
        <w:t>Calamita</w:t>
      </w:r>
      <w:proofErr w:type="spellEnd"/>
      <w:r>
        <w:rPr>
          <w:rFonts w:ascii="Times New Roman" w:hAnsi="Times New Roman" w:cs="Times New Roman"/>
          <w:smallCaps/>
          <w:lang w:val="en-CA"/>
        </w:rPr>
        <w:t xml:space="preserve"> </w:t>
      </w:r>
      <w:r>
        <w:rPr>
          <w:rFonts w:ascii="Times New Roman" w:hAnsi="Times New Roman" w:cs="Times New Roman"/>
          <w:lang w:val="en-CA"/>
        </w:rPr>
        <w:t xml:space="preserve">N. Jansen, 2014, « </w:t>
      </w:r>
      <w:r w:rsidR="00344B01" w:rsidRPr="00344B01">
        <w:rPr>
          <w:rFonts w:ascii="Times New Roman" w:hAnsi="Times New Roman" w:cs="Times New Roman"/>
          <w:lang w:val="en-CA"/>
        </w:rPr>
        <w:t>Dispute Settlement Transparency in Europe’s Evolving Investment Treaty Policy</w:t>
      </w:r>
      <w:r w:rsidR="00344B01">
        <w:rPr>
          <w:rFonts w:ascii="Times New Roman" w:hAnsi="Times New Roman" w:cs="Times New Roman"/>
          <w:lang w:val="en-CA"/>
        </w:rPr>
        <w:t xml:space="preserve">: </w:t>
      </w:r>
      <w:r w:rsidR="00344B01" w:rsidRPr="00344B01">
        <w:rPr>
          <w:rFonts w:ascii="Times New Roman" w:hAnsi="Times New Roman" w:cs="Times New Roman"/>
          <w:lang w:val="en-CA"/>
        </w:rPr>
        <w:t xml:space="preserve">Adopting the </w:t>
      </w:r>
      <w:r w:rsidR="00344B01">
        <w:rPr>
          <w:rFonts w:ascii="Times New Roman" w:hAnsi="Times New Roman" w:cs="Times New Roman"/>
          <w:lang w:val="en-CA"/>
        </w:rPr>
        <w:t>UNCITRAL</w:t>
      </w:r>
      <w:r w:rsidR="00344B01" w:rsidRPr="00344B01">
        <w:rPr>
          <w:rFonts w:ascii="Times New Roman" w:hAnsi="Times New Roman" w:cs="Times New Roman"/>
          <w:lang w:val="en-CA"/>
        </w:rPr>
        <w:t xml:space="preserve"> Transparency Rules Approach</w:t>
      </w:r>
      <w:r w:rsidR="00344B01">
        <w:rPr>
          <w:rFonts w:ascii="Times New Roman" w:hAnsi="Times New Roman" w:cs="Times New Roman"/>
          <w:lang w:val="en-CA"/>
        </w:rPr>
        <w:t xml:space="preserve"> », </w:t>
      </w:r>
      <w:r w:rsidR="00344B01" w:rsidRPr="00D33340">
        <w:rPr>
          <w:rFonts w:ascii="Times New Roman" w:hAnsi="Times New Roman" w:cs="Times New Roman"/>
          <w:i/>
          <w:lang w:val="en-CA"/>
        </w:rPr>
        <w:t>The Journal of World Investment &amp; Trade</w:t>
      </w:r>
      <w:r w:rsidR="00344B01" w:rsidRPr="00D33340">
        <w:rPr>
          <w:rFonts w:ascii="Times New Roman" w:hAnsi="Times New Roman" w:cs="Times New Roman"/>
          <w:lang w:val="en-CA"/>
        </w:rPr>
        <w:t>, Vol. 15, n</w:t>
      </w:r>
      <w:r w:rsidR="00344B01" w:rsidRPr="00D33340">
        <w:rPr>
          <w:rFonts w:ascii="Times New Roman" w:hAnsi="Times New Roman" w:cs="Times New Roman"/>
          <w:vertAlign w:val="superscript"/>
          <w:lang w:val="en-CA"/>
        </w:rPr>
        <w:t xml:space="preserve">o </w:t>
      </w:r>
      <w:r w:rsidR="00344B01" w:rsidRPr="00D33340">
        <w:rPr>
          <w:rFonts w:ascii="Times New Roman" w:hAnsi="Times New Roman" w:cs="Times New Roman"/>
          <w:lang w:val="en-CA"/>
        </w:rPr>
        <w:t>3-</w:t>
      </w:r>
      <w:proofErr w:type="gramStart"/>
      <w:r w:rsidR="00344B01" w:rsidRPr="00D33340">
        <w:rPr>
          <w:rFonts w:ascii="Times New Roman" w:hAnsi="Times New Roman" w:cs="Times New Roman"/>
          <w:lang w:val="en-CA"/>
        </w:rPr>
        <w:t>4 :</w:t>
      </w:r>
      <w:proofErr w:type="gramEnd"/>
      <w:r w:rsidR="00344B01">
        <w:rPr>
          <w:rFonts w:ascii="Times New Roman" w:hAnsi="Times New Roman" w:cs="Times New Roman"/>
          <w:lang w:val="en-CA"/>
        </w:rPr>
        <w:t xml:space="preserve"> 645-678.</w:t>
      </w:r>
    </w:p>
    <w:p w14:paraId="59C1CBF3" w14:textId="77777777" w:rsidR="00344B01" w:rsidRPr="00344B01" w:rsidRDefault="00344B01" w:rsidP="00344B01">
      <w:pPr>
        <w:pStyle w:val="Listepuces"/>
        <w:numPr>
          <w:ilvl w:val="0"/>
          <w:numId w:val="0"/>
        </w:numPr>
        <w:ind w:left="360" w:hanging="360"/>
        <w:jc w:val="both"/>
        <w:rPr>
          <w:rFonts w:ascii="Times New Roman" w:hAnsi="Times New Roman" w:cs="Times New Roman"/>
          <w:sz w:val="10"/>
          <w:lang w:val="en-CA"/>
        </w:rPr>
      </w:pPr>
    </w:p>
    <w:p w14:paraId="4A0A8F10" w14:textId="6629901F"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Chaisse</w:t>
      </w:r>
      <w:proofErr w:type="spellEnd"/>
      <w:r w:rsidRPr="00D33340">
        <w:rPr>
          <w:rFonts w:ascii="Times New Roman" w:hAnsi="Times New Roman" w:cs="Times New Roman"/>
          <w:smallCaps/>
          <w:lang w:val="en-CA"/>
        </w:rPr>
        <w:t xml:space="preserve"> </w:t>
      </w:r>
      <w:proofErr w:type="spellStart"/>
      <w:r w:rsidRPr="00D33340">
        <w:rPr>
          <w:rFonts w:ascii="Times New Roman" w:hAnsi="Times New Roman" w:cs="Times New Roman"/>
          <w:lang w:val="en-CA"/>
        </w:rPr>
        <w:t>Julien</w:t>
      </w:r>
      <w:proofErr w:type="spellEnd"/>
      <w:r w:rsidRPr="00D33340">
        <w:rPr>
          <w:rFonts w:ascii="Times New Roman" w:hAnsi="Times New Roman" w:cs="Times New Roman"/>
          <w:lang w:val="en-CA"/>
        </w:rPr>
        <w:t>, 2012, « Promises and Pitfalls of the European Union Policy on Foreign Investment – How Will the New EU Competence on FDI Affect the Emergin</w:t>
      </w:r>
      <w:r w:rsidR="00D6628D">
        <w:rPr>
          <w:rFonts w:ascii="Times New Roman" w:hAnsi="Times New Roman" w:cs="Times New Roman"/>
          <w:lang w:val="en-CA"/>
        </w:rPr>
        <w:t>g Global Regime? </w:t>
      </w:r>
      <w:r w:rsidRPr="00D33340">
        <w:rPr>
          <w:rFonts w:ascii="Times New Roman" w:hAnsi="Times New Roman" w:cs="Times New Roman"/>
          <w:lang w:val="en-CA"/>
        </w:rPr>
        <w:t xml:space="preserve">», </w:t>
      </w:r>
      <w:r w:rsidRPr="00D33340">
        <w:rPr>
          <w:rFonts w:ascii="Times New Roman" w:hAnsi="Times New Roman" w:cs="Times New Roman"/>
          <w:i/>
          <w:lang w:val="en-CA"/>
        </w:rPr>
        <w:t xml:space="preserve">Journal of International Economic Law, </w:t>
      </w:r>
      <w:r w:rsidRPr="00D33340">
        <w:rPr>
          <w:rFonts w:ascii="Times New Roman" w:hAnsi="Times New Roman" w:cs="Times New Roman"/>
          <w:lang w:val="en-CA"/>
        </w:rPr>
        <w:t>Vol. 15,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1 :</w:t>
      </w:r>
      <w:proofErr w:type="gramEnd"/>
      <w:r w:rsidR="00D6628D">
        <w:rPr>
          <w:rFonts w:ascii="Times New Roman" w:hAnsi="Times New Roman" w:cs="Times New Roman"/>
          <w:lang w:val="en-CA"/>
        </w:rPr>
        <w:t xml:space="preserve"> </w:t>
      </w:r>
      <w:r w:rsidRPr="00D33340">
        <w:rPr>
          <w:rFonts w:ascii="Times New Roman" w:hAnsi="Times New Roman" w:cs="Times New Roman"/>
          <w:lang w:val="en-CA"/>
        </w:rPr>
        <w:t>51-84.</w:t>
      </w:r>
    </w:p>
    <w:p w14:paraId="121F3DD2"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53934F12"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Clodfelter</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Mark A., 2009, « The Adaptation of States to the Changing World of Investment Protection through Model BITs », </w:t>
      </w:r>
      <w:r w:rsidRPr="00D33340">
        <w:rPr>
          <w:rFonts w:ascii="Times New Roman" w:hAnsi="Times New Roman" w:cs="Times New Roman"/>
          <w:i/>
          <w:lang w:val="en-CA"/>
        </w:rPr>
        <w:t xml:space="preserve">ICSID Review, </w:t>
      </w:r>
      <w:r w:rsidRPr="00D33340">
        <w:rPr>
          <w:rFonts w:ascii="Times New Roman" w:hAnsi="Times New Roman" w:cs="Times New Roman"/>
          <w:lang w:val="en-CA"/>
        </w:rPr>
        <w:t>Vol. 24,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165-175.</w:t>
      </w:r>
    </w:p>
    <w:p w14:paraId="554D3EB4"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0F6B5F14" w14:textId="00AB3CA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Colen</w:t>
      </w:r>
      <w:proofErr w:type="spellEnd"/>
      <w:r w:rsidRPr="00D33340">
        <w:rPr>
          <w:rFonts w:ascii="Times New Roman" w:hAnsi="Times New Roman" w:cs="Times New Roman"/>
          <w:smallCaps/>
          <w:lang w:val="en-CA"/>
        </w:rPr>
        <w:t xml:space="preserve"> </w:t>
      </w:r>
      <w:proofErr w:type="spellStart"/>
      <w:r w:rsidRPr="00D33340">
        <w:rPr>
          <w:rFonts w:ascii="Times New Roman" w:hAnsi="Times New Roman" w:cs="Times New Roman"/>
          <w:lang w:val="en-CA"/>
        </w:rPr>
        <w:t>Liesbeth</w:t>
      </w:r>
      <w:proofErr w:type="spellEnd"/>
      <w:r w:rsidRPr="00D33340">
        <w:rPr>
          <w:rFonts w:ascii="Times New Roman" w:hAnsi="Times New Roman" w:cs="Times New Roman"/>
          <w:lang w:val="en-CA"/>
        </w:rPr>
        <w:t xml:space="preserve">, </w:t>
      </w:r>
      <w:proofErr w:type="spellStart"/>
      <w:r w:rsidRPr="00D33340">
        <w:rPr>
          <w:rFonts w:ascii="Times New Roman" w:hAnsi="Times New Roman" w:cs="Times New Roman"/>
          <w:lang w:val="en-CA"/>
        </w:rPr>
        <w:t>Miet</w:t>
      </w:r>
      <w:proofErr w:type="spellEnd"/>
      <w:r w:rsidRPr="00D33340">
        <w:rPr>
          <w:rFonts w:ascii="Times New Roman" w:hAnsi="Times New Roman" w:cs="Times New Roman"/>
          <w:lang w:val="en-CA"/>
        </w:rPr>
        <w:t xml:space="preserve"> </w:t>
      </w:r>
      <w:proofErr w:type="spellStart"/>
      <w:r w:rsidRPr="00D33340">
        <w:rPr>
          <w:rFonts w:ascii="Times New Roman" w:hAnsi="Times New Roman" w:cs="Times New Roman"/>
          <w:smallCaps/>
          <w:lang w:val="en-CA"/>
        </w:rPr>
        <w:t>Maertens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et Johann </w:t>
      </w:r>
      <w:proofErr w:type="spellStart"/>
      <w:r w:rsidRPr="00D33340">
        <w:rPr>
          <w:rFonts w:ascii="Times New Roman" w:hAnsi="Times New Roman" w:cs="Times New Roman"/>
          <w:smallCaps/>
          <w:lang w:val="en-CA"/>
        </w:rPr>
        <w:t>Swinnen</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2013, « Determinants of Foreign Direct Investment Flows to Developing Countries: the Role of Inte</w:t>
      </w:r>
      <w:r w:rsidR="00D6628D">
        <w:rPr>
          <w:rFonts w:ascii="Times New Roman" w:hAnsi="Times New Roman" w:cs="Times New Roman"/>
          <w:lang w:val="en-CA"/>
        </w:rPr>
        <w:t>rnational Investment Agreements </w:t>
      </w:r>
      <w:r w:rsidRPr="00D33340">
        <w:rPr>
          <w:rFonts w:ascii="Times New Roman" w:hAnsi="Times New Roman" w:cs="Times New Roman"/>
          <w:lang w:val="en-CA"/>
        </w:rPr>
        <w:t xml:space="preserve">»,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O. de </w:t>
      </w:r>
      <w:proofErr w:type="spellStart"/>
      <w:r w:rsidRPr="00D33340">
        <w:rPr>
          <w:rFonts w:ascii="Times New Roman" w:hAnsi="Times New Roman" w:cs="Times New Roman"/>
          <w:smallCaps/>
          <w:lang w:val="en-CA"/>
        </w:rPr>
        <w:t>Schutter</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J. F. M. </w:t>
      </w:r>
      <w:proofErr w:type="spellStart"/>
      <w:r w:rsidRPr="00D33340">
        <w:rPr>
          <w:rFonts w:ascii="Times New Roman" w:hAnsi="Times New Roman" w:cs="Times New Roman"/>
          <w:smallCaps/>
          <w:lang w:val="en-CA"/>
        </w:rPr>
        <w:t>Swinnen</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J. </w:t>
      </w:r>
      <w:proofErr w:type="spellStart"/>
      <w:r w:rsidRPr="00D33340">
        <w:rPr>
          <w:rFonts w:ascii="Times New Roman" w:hAnsi="Times New Roman" w:cs="Times New Roman"/>
          <w:smallCaps/>
          <w:lang w:val="en-CA"/>
        </w:rPr>
        <w:t>Wouters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(dir.), </w:t>
      </w:r>
      <w:r w:rsidR="00D6628D">
        <w:rPr>
          <w:rFonts w:ascii="Times New Roman" w:hAnsi="Times New Roman" w:cs="Times New Roman"/>
          <w:i/>
          <w:lang w:val="en-CA"/>
        </w:rPr>
        <w:t>Foreign Direct Investment and Human Development: The Law and Economics of International Investment A</w:t>
      </w:r>
      <w:r w:rsidR="00D6628D" w:rsidRPr="00D33340">
        <w:rPr>
          <w:rFonts w:ascii="Times New Roman" w:hAnsi="Times New Roman" w:cs="Times New Roman"/>
          <w:i/>
          <w:lang w:val="en-CA"/>
        </w:rPr>
        <w:t>greements</w:t>
      </w:r>
      <w:r w:rsidRPr="00D33340">
        <w:rPr>
          <w:rFonts w:ascii="Times New Roman" w:hAnsi="Times New Roman" w:cs="Times New Roman"/>
          <w:i/>
          <w:lang w:val="en-CA"/>
        </w:rPr>
        <w:t xml:space="preserve">, </w:t>
      </w:r>
      <w:r w:rsidRPr="00D33340">
        <w:rPr>
          <w:rFonts w:ascii="Times New Roman" w:hAnsi="Times New Roman" w:cs="Times New Roman"/>
          <w:lang w:val="en-CA"/>
        </w:rPr>
        <w:t xml:space="preserve">New-York, </w:t>
      </w:r>
      <w:proofErr w:type="spellStart"/>
      <w:proofErr w:type="gramStart"/>
      <w:r w:rsidRPr="00D33340">
        <w:rPr>
          <w:rFonts w:ascii="Times New Roman" w:hAnsi="Times New Roman" w:cs="Times New Roman"/>
          <w:lang w:val="en-CA"/>
        </w:rPr>
        <w:t>Routledge</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116-137.</w:t>
      </w:r>
    </w:p>
    <w:p w14:paraId="252B3405"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05776EAC"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Copelovitch</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Mark S. et Tonya L. </w:t>
      </w:r>
      <w:r w:rsidRPr="00D33340">
        <w:rPr>
          <w:rFonts w:ascii="Times New Roman" w:hAnsi="Times New Roman" w:cs="Times New Roman"/>
          <w:smallCaps/>
          <w:lang w:val="en-CA"/>
        </w:rPr>
        <w:t>Putnam</w:t>
      </w:r>
      <w:r w:rsidRPr="00D33340">
        <w:rPr>
          <w:rFonts w:ascii="Times New Roman" w:hAnsi="Times New Roman" w:cs="Times New Roman"/>
          <w:lang w:val="en-CA"/>
        </w:rPr>
        <w:t xml:space="preserve">, 2014, « Design in Context: Existing International Agreements and New Cooperation », </w:t>
      </w:r>
      <w:r w:rsidRPr="00D33340">
        <w:rPr>
          <w:rFonts w:ascii="Times New Roman" w:hAnsi="Times New Roman" w:cs="Times New Roman"/>
          <w:i/>
          <w:lang w:val="en-CA"/>
        </w:rPr>
        <w:t>International Organization</w:t>
      </w:r>
      <w:r w:rsidRPr="00D33340">
        <w:rPr>
          <w:rFonts w:ascii="Times New Roman" w:hAnsi="Times New Roman" w:cs="Times New Roman"/>
          <w:lang w:val="en-CA"/>
        </w:rPr>
        <w:t>, Vol. 68,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471-493.</w:t>
      </w:r>
    </w:p>
    <w:p w14:paraId="51DD8191"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39C083A6" w14:textId="611DB442"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Coyle </w:t>
      </w:r>
      <w:r w:rsidRPr="00D33340">
        <w:rPr>
          <w:rFonts w:ascii="Times New Roman" w:hAnsi="Times New Roman" w:cs="Times New Roman"/>
          <w:lang w:val="en-CA"/>
        </w:rPr>
        <w:t>John F., 2013, « The Treaty of Friendship, Commerce a</w:t>
      </w:r>
      <w:r w:rsidR="00D6628D">
        <w:rPr>
          <w:rFonts w:ascii="Times New Roman" w:hAnsi="Times New Roman" w:cs="Times New Roman"/>
          <w:lang w:val="en-CA"/>
        </w:rPr>
        <w:t>nd Navigation in the Modern Era </w:t>
      </w:r>
      <w:r w:rsidRPr="00D33340">
        <w:rPr>
          <w:rFonts w:ascii="Times New Roman" w:hAnsi="Times New Roman" w:cs="Times New Roman"/>
          <w:lang w:val="en-CA"/>
        </w:rPr>
        <w:t xml:space="preserve">», </w:t>
      </w:r>
      <w:r w:rsidRPr="00D33340">
        <w:rPr>
          <w:rFonts w:ascii="Times New Roman" w:hAnsi="Times New Roman" w:cs="Times New Roman"/>
          <w:i/>
          <w:lang w:val="en-CA"/>
        </w:rPr>
        <w:t xml:space="preserve">Columbia Journal of Transnational Law, </w:t>
      </w:r>
      <w:r w:rsidRPr="00D33340">
        <w:rPr>
          <w:rFonts w:ascii="Times New Roman" w:hAnsi="Times New Roman" w:cs="Times New Roman"/>
          <w:lang w:val="en-CA"/>
        </w:rPr>
        <w:t>Vol. 51,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302-359.</w:t>
      </w:r>
    </w:p>
    <w:p w14:paraId="29874754"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45C83B0E" w14:textId="517E8960"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De Luca </w:t>
      </w:r>
      <w:r w:rsidRPr="00D33340">
        <w:rPr>
          <w:rFonts w:ascii="Times New Roman" w:hAnsi="Times New Roman" w:cs="Times New Roman"/>
          <w:lang w:val="en-CA"/>
        </w:rPr>
        <w:t xml:space="preserve">Anna, 2014, « Umbrella Clauses and Transfer Provisions </w:t>
      </w:r>
      <w:r w:rsidR="00D6628D">
        <w:rPr>
          <w:rFonts w:ascii="Times New Roman" w:hAnsi="Times New Roman" w:cs="Times New Roman"/>
          <w:lang w:val="en-CA"/>
        </w:rPr>
        <w:t>in the (Invisible) EU Model BIT </w:t>
      </w:r>
      <w:r w:rsidRPr="00D33340">
        <w:rPr>
          <w:rFonts w:ascii="Times New Roman" w:hAnsi="Times New Roman" w:cs="Times New Roman"/>
          <w:lang w:val="en-CA"/>
        </w:rPr>
        <w:t xml:space="preserve">»,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506-533.</w:t>
      </w:r>
    </w:p>
    <w:p w14:paraId="2D8E6440" w14:textId="77777777" w:rsidR="00D33340" w:rsidRPr="00D33340" w:rsidRDefault="00D33340" w:rsidP="00D33340">
      <w:pPr>
        <w:pStyle w:val="Listepuces"/>
        <w:numPr>
          <w:ilvl w:val="0"/>
          <w:numId w:val="0"/>
        </w:numPr>
        <w:ind w:left="357" w:hanging="357"/>
        <w:jc w:val="both"/>
        <w:rPr>
          <w:rFonts w:ascii="Times New Roman" w:hAnsi="Times New Roman" w:cs="Times New Roman"/>
          <w:i/>
          <w:sz w:val="10"/>
          <w:lang w:val="en-CA"/>
        </w:rPr>
      </w:pPr>
    </w:p>
    <w:p w14:paraId="4AA8AEC3"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De </w:t>
      </w:r>
      <w:proofErr w:type="spellStart"/>
      <w:r w:rsidRPr="00D33340">
        <w:rPr>
          <w:rFonts w:ascii="Times New Roman" w:hAnsi="Times New Roman" w:cs="Times New Roman"/>
          <w:smallCaps/>
          <w:lang w:val="en-CA"/>
        </w:rPr>
        <w:t>Mestral</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Armand </w:t>
      </w:r>
      <w:proofErr w:type="gramStart"/>
      <w:r w:rsidRPr="00D33340">
        <w:rPr>
          <w:rFonts w:ascii="Times New Roman" w:hAnsi="Times New Roman" w:cs="Times New Roman"/>
          <w:lang w:val="en-CA"/>
        </w:rPr>
        <w:t>et</w:t>
      </w:r>
      <w:proofErr w:type="gramEnd"/>
      <w:r w:rsidRPr="00D33340">
        <w:rPr>
          <w:rFonts w:ascii="Times New Roman" w:hAnsi="Times New Roman" w:cs="Times New Roman"/>
          <w:lang w:val="en-CA"/>
        </w:rPr>
        <w:t xml:space="preserve"> Céline </w:t>
      </w:r>
      <w:r w:rsidRPr="00D33340">
        <w:rPr>
          <w:rFonts w:ascii="Times New Roman" w:hAnsi="Times New Roman" w:cs="Times New Roman"/>
          <w:smallCaps/>
          <w:lang w:val="en-CA"/>
        </w:rPr>
        <w:t xml:space="preserve">Lévesque </w:t>
      </w:r>
      <w:r w:rsidRPr="00D33340">
        <w:rPr>
          <w:rFonts w:ascii="Times New Roman" w:hAnsi="Times New Roman" w:cs="Times New Roman"/>
          <w:lang w:val="en-CA"/>
        </w:rPr>
        <w:t xml:space="preserve">(dir.), 2013, </w:t>
      </w:r>
      <w:r w:rsidRPr="00D33340">
        <w:rPr>
          <w:rFonts w:ascii="Times New Roman" w:hAnsi="Times New Roman" w:cs="Times New Roman"/>
          <w:i/>
          <w:lang w:val="en-CA"/>
        </w:rPr>
        <w:t xml:space="preserve">Improving International Investment Agreements, </w:t>
      </w:r>
      <w:r w:rsidRPr="00D33340">
        <w:rPr>
          <w:rFonts w:ascii="Times New Roman" w:hAnsi="Times New Roman" w:cs="Times New Roman"/>
          <w:lang w:val="en-CA"/>
        </w:rPr>
        <w:t xml:space="preserve">New-York, </w:t>
      </w:r>
      <w:proofErr w:type="spellStart"/>
      <w:r w:rsidRPr="00D33340">
        <w:rPr>
          <w:rFonts w:ascii="Times New Roman" w:hAnsi="Times New Roman" w:cs="Times New Roman"/>
          <w:lang w:val="en-CA"/>
        </w:rPr>
        <w:t>Routledge</w:t>
      </w:r>
      <w:proofErr w:type="spellEnd"/>
      <w:r w:rsidRPr="00D33340">
        <w:rPr>
          <w:rFonts w:ascii="Times New Roman" w:hAnsi="Times New Roman" w:cs="Times New Roman"/>
          <w:lang w:val="en-CA"/>
        </w:rPr>
        <w:t>.</w:t>
      </w:r>
    </w:p>
    <w:p w14:paraId="44453B91" w14:textId="77777777" w:rsidR="00D33340" w:rsidRPr="00D33340" w:rsidRDefault="00D33340" w:rsidP="00D33340">
      <w:pPr>
        <w:pStyle w:val="Listepuces"/>
        <w:numPr>
          <w:ilvl w:val="0"/>
          <w:numId w:val="0"/>
        </w:numPr>
        <w:ind w:left="357" w:hanging="357"/>
        <w:jc w:val="both"/>
        <w:rPr>
          <w:rFonts w:ascii="Times New Roman" w:hAnsi="Times New Roman" w:cs="Times New Roman"/>
          <w:smallCaps/>
          <w:sz w:val="10"/>
          <w:lang w:val="en-CA"/>
        </w:rPr>
      </w:pPr>
    </w:p>
    <w:p w14:paraId="2F0B0384" w14:textId="1E98386B"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De </w:t>
      </w:r>
      <w:proofErr w:type="spellStart"/>
      <w:r w:rsidRPr="00D33340">
        <w:rPr>
          <w:rFonts w:ascii="Times New Roman" w:hAnsi="Times New Roman" w:cs="Times New Roman"/>
          <w:smallCaps/>
          <w:lang w:val="en-CA"/>
        </w:rPr>
        <w:t>Mestral</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Armand, 2013 « The Evolving Role of th</w:t>
      </w:r>
      <w:r w:rsidR="00D6628D">
        <w:rPr>
          <w:rFonts w:ascii="Times New Roman" w:hAnsi="Times New Roman" w:cs="Times New Roman"/>
          <w:lang w:val="en-CA"/>
        </w:rPr>
        <w:t>e European Union in IIA Treaty-Making </w:t>
      </w:r>
      <w:r w:rsidRPr="00D33340">
        <w:rPr>
          <w:rFonts w:ascii="Times New Roman" w:hAnsi="Times New Roman" w:cs="Times New Roman"/>
          <w:lang w:val="en-CA"/>
        </w:rPr>
        <w:t xml:space="preserve">»,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A. </w:t>
      </w:r>
      <w:r w:rsidRPr="00D33340">
        <w:rPr>
          <w:rFonts w:ascii="Times New Roman" w:hAnsi="Times New Roman" w:cs="Times New Roman"/>
          <w:smallCaps/>
          <w:lang w:val="en-CA"/>
        </w:rPr>
        <w:t xml:space="preserve">De </w:t>
      </w:r>
      <w:proofErr w:type="spellStart"/>
      <w:r w:rsidRPr="00D33340">
        <w:rPr>
          <w:rFonts w:ascii="Times New Roman" w:hAnsi="Times New Roman" w:cs="Times New Roman"/>
          <w:smallCaps/>
          <w:lang w:val="en-CA"/>
        </w:rPr>
        <w:t>Mestral</w:t>
      </w:r>
      <w:proofErr w:type="spellEnd"/>
      <w:r w:rsidRPr="00D33340">
        <w:rPr>
          <w:rFonts w:ascii="Times New Roman" w:hAnsi="Times New Roman" w:cs="Times New Roman"/>
          <w:smallCaps/>
          <w:lang w:val="en-CA"/>
        </w:rPr>
        <w:t xml:space="preserve">, C. Lévesque </w:t>
      </w:r>
      <w:r w:rsidRPr="00D33340">
        <w:rPr>
          <w:rFonts w:ascii="Times New Roman" w:hAnsi="Times New Roman" w:cs="Times New Roman"/>
          <w:lang w:val="en-CA"/>
        </w:rPr>
        <w:t xml:space="preserve">(dir.), </w:t>
      </w:r>
      <w:r w:rsidRPr="00D33340">
        <w:rPr>
          <w:rFonts w:ascii="Times New Roman" w:hAnsi="Times New Roman" w:cs="Times New Roman"/>
          <w:i/>
          <w:lang w:val="en-CA"/>
        </w:rPr>
        <w:t xml:space="preserve">Improving International Investment Agreements, </w:t>
      </w:r>
      <w:r w:rsidRPr="00D33340">
        <w:rPr>
          <w:rFonts w:ascii="Times New Roman" w:hAnsi="Times New Roman" w:cs="Times New Roman"/>
          <w:lang w:val="en-CA"/>
        </w:rPr>
        <w:t xml:space="preserve">New-York, </w:t>
      </w:r>
      <w:proofErr w:type="spellStart"/>
      <w:proofErr w:type="gramStart"/>
      <w:r w:rsidRPr="00D33340">
        <w:rPr>
          <w:rFonts w:ascii="Times New Roman" w:hAnsi="Times New Roman" w:cs="Times New Roman"/>
          <w:lang w:val="en-CA"/>
        </w:rPr>
        <w:t>Routledge</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42-58.</w:t>
      </w:r>
    </w:p>
    <w:p w14:paraId="5492B0A0"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1A8EC384"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DiMascio</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Nicholas et </w:t>
      </w:r>
      <w:proofErr w:type="spellStart"/>
      <w:r w:rsidRPr="00D33340">
        <w:rPr>
          <w:rFonts w:ascii="Times New Roman" w:hAnsi="Times New Roman" w:cs="Times New Roman"/>
          <w:lang w:val="en-CA"/>
        </w:rPr>
        <w:t>Joost</w:t>
      </w:r>
      <w:proofErr w:type="spellEnd"/>
      <w:r w:rsidRPr="00D33340">
        <w:rPr>
          <w:rFonts w:ascii="Times New Roman" w:hAnsi="Times New Roman" w:cs="Times New Roman"/>
          <w:lang w:val="en-CA"/>
        </w:rPr>
        <w:t xml:space="preserve"> </w:t>
      </w:r>
      <w:proofErr w:type="spellStart"/>
      <w:r w:rsidRPr="00D33340">
        <w:rPr>
          <w:rFonts w:ascii="Times New Roman" w:hAnsi="Times New Roman" w:cs="Times New Roman"/>
          <w:smallCaps/>
          <w:lang w:val="en-CA"/>
        </w:rPr>
        <w:t>Pauwelyn</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2008, « </w:t>
      </w:r>
      <w:proofErr w:type="spellStart"/>
      <w:r w:rsidRPr="00D33340">
        <w:rPr>
          <w:rFonts w:ascii="Times New Roman" w:hAnsi="Times New Roman" w:cs="Times New Roman"/>
          <w:lang w:val="en-CA"/>
        </w:rPr>
        <w:t>Nondiscrimination</w:t>
      </w:r>
      <w:proofErr w:type="spellEnd"/>
      <w:r w:rsidRPr="00D33340">
        <w:rPr>
          <w:rFonts w:ascii="Times New Roman" w:hAnsi="Times New Roman" w:cs="Times New Roman"/>
          <w:lang w:val="en-CA"/>
        </w:rPr>
        <w:t xml:space="preserve"> in Trade and Investment Treaties: Worlds Apart or Two Sides of the Same Coin », </w:t>
      </w:r>
      <w:r w:rsidRPr="00D33340">
        <w:rPr>
          <w:rFonts w:ascii="Times New Roman" w:hAnsi="Times New Roman" w:cs="Times New Roman"/>
          <w:i/>
          <w:lang w:val="en-CA"/>
        </w:rPr>
        <w:t xml:space="preserve">American Journal of International Law, </w:t>
      </w:r>
      <w:r w:rsidRPr="00D33340">
        <w:rPr>
          <w:rFonts w:ascii="Times New Roman" w:hAnsi="Times New Roman" w:cs="Times New Roman"/>
          <w:lang w:val="en-CA"/>
        </w:rPr>
        <w:t>Vol. 102,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48-89.</w:t>
      </w:r>
    </w:p>
    <w:p w14:paraId="71EF6D2D"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52069343" w14:textId="688ADD95" w:rsidR="00B04F23" w:rsidRDefault="00B04F23" w:rsidP="00D33340">
      <w:pPr>
        <w:pStyle w:val="Listepuces"/>
        <w:numPr>
          <w:ilvl w:val="0"/>
          <w:numId w:val="0"/>
        </w:numPr>
        <w:ind w:left="360" w:hanging="360"/>
        <w:jc w:val="both"/>
        <w:rPr>
          <w:rFonts w:ascii="Times New Roman" w:hAnsi="Times New Roman" w:cs="Times New Roman"/>
          <w:lang w:val="en-CA"/>
        </w:rPr>
      </w:pPr>
      <w:proofErr w:type="spellStart"/>
      <w:r>
        <w:rPr>
          <w:rFonts w:ascii="Times New Roman" w:hAnsi="Times New Roman" w:cs="Times New Roman"/>
          <w:smallCaps/>
          <w:lang w:val="en-CA"/>
        </w:rPr>
        <w:t>Dolzer</w:t>
      </w:r>
      <w:proofErr w:type="spellEnd"/>
      <w:r>
        <w:rPr>
          <w:rFonts w:ascii="Times New Roman" w:hAnsi="Times New Roman" w:cs="Times New Roman"/>
          <w:smallCaps/>
          <w:lang w:val="en-CA"/>
        </w:rPr>
        <w:t xml:space="preserve"> </w:t>
      </w:r>
      <w:r>
        <w:rPr>
          <w:rFonts w:ascii="Times New Roman" w:hAnsi="Times New Roman" w:cs="Times New Roman"/>
          <w:lang w:val="en-CA"/>
        </w:rPr>
        <w:t xml:space="preserve">Rudolf, 2002, </w:t>
      </w:r>
      <w:r w:rsidRPr="00B04F23">
        <w:rPr>
          <w:rFonts w:ascii="Times New Roman" w:hAnsi="Times New Roman" w:cs="Times New Roman"/>
          <w:lang w:val="en-CA"/>
        </w:rPr>
        <w:t xml:space="preserve">« </w:t>
      </w:r>
      <w:r w:rsidRPr="00B04F23">
        <w:rPr>
          <w:rFonts w:ascii="Times New Roman" w:hAnsi="Times New Roman" w:cs="Times New Roman"/>
          <w:bCs/>
          <w:lang w:val="fr-FR"/>
        </w:rPr>
        <w:t xml:space="preserve">Indirect Expropriations: New </w:t>
      </w:r>
      <w:proofErr w:type="spellStart"/>
      <w:r w:rsidRPr="00B04F23">
        <w:rPr>
          <w:rFonts w:ascii="Times New Roman" w:hAnsi="Times New Roman" w:cs="Times New Roman"/>
          <w:bCs/>
          <w:lang w:val="fr-FR"/>
        </w:rPr>
        <w:t>Developments</w:t>
      </w:r>
      <w:proofErr w:type="spellEnd"/>
      <w:r w:rsidRPr="00B04F23">
        <w:rPr>
          <w:rFonts w:ascii="Times New Roman" w:hAnsi="Times New Roman" w:cs="Times New Roman"/>
          <w:bCs/>
          <w:lang w:val="fr-FR"/>
        </w:rPr>
        <w:t>? (</w:t>
      </w:r>
      <w:proofErr w:type="spellStart"/>
      <w:r w:rsidRPr="00B04F23">
        <w:rPr>
          <w:rFonts w:ascii="Times New Roman" w:hAnsi="Times New Roman" w:cs="Times New Roman"/>
          <w:bCs/>
          <w:lang w:val="fr-FR"/>
        </w:rPr>
        <w:t>Regulatory</w:t>
      </w:r>
      <w:proofErr w:type="spellEnd"/>
      <w:r w:rsidRPr="00B04F23">
        <w:rPr>
          <w:rFonts w:ascii="Times New Roman" w:hAnsi="Times New Roman" w:cs="Times New Roman"/>
          <w:bCs/>
          <w:lang w:val="fr-FR"/>
        </w:rPr>
        <w:t xml:space="preserve"> Expropriations in International Law) »</w:t>
      </w:r>
      <w:r>
        <w:rPr>
          <w:rFonts w:ascii="Times New Roman" w:hAnsi="Times New Roman" w:cs="Times New Roman"/>
          <w:bCs/>
          <w:lang w:val="fr-FR"/>
        </w:rPr>
        <w:t xml:space="preserve">, </w:t>
      </w:r>
      <w:r w:rsidRPr="00B04F23">
        <w:rPr>
          <w:rFonts w:ascii="Times New Roman" w:hAnsi="Times New Roman" w:cs="Times New Roman"/>
          <w:bCs/>
          <w:i/>
          <w:lang w:val="fr-FR"/>
        </w:rPr>
        <w:t xml:space="preserve">New York </w:t>
      </w:r>
      <w:proofErr w:type="spellStart"/>
      <w:r w:rsidRPr="00B04F23">
        <w:rPr>
          <w:rFonts w:ascii="Times New Roman" w:hAnsi="Times New Roman" w:cs="Times New Roman"/>
          <w:bCs/>
          <w:i/>
          <w:lang w:val="fr-FR"/>
        </w:rPr>
        <w:t>University</w:t>
      </w:r>
      <w:proofErr w:type="spellEnd"/>
      <w:r w:rsidRPr="00B04F23">
        <w:rPr>
          <w:rFonts w:ascii="Times New Roman" w:hAnsi="Times New Roman" w:cs="Times New Roman"/>
          <w:bCs/>
          <w:i/>
          <w:lang w:val="fr-FR"/>
        </w:rPr>
        <w:t xml:space="preserve"> </w:t>
      </w:r>
      <w:proofErr w:type="spellStart"/>
      <w:r w:rsidRPr="00B04F23">
        <w:rPr>
          <w:rFonts w:ascii="Times New Roman" w:hAnsi="Times New Roman" w:cs="Times New Roman"/>
          <w:bCs/>
          <w:i/>
          <w:lang w:val="fr-FR"/>
        </w:rPr>
        <w:t>Environmental</w:t>
      </w:r>
      <w:proofErr w:type="spellEnd"/>
      <w:r w:rsidRPr="00B04F23">
        <w:rPr>
          <w:rFonts w:ascii="Times New Roman" w:hAnsi="Times New Roman" w:cs="Times New Roman"/>
          <w:bCs/>
          <w:i/>
          <w:lang w:val="fr-FR"/>
        </w:rPr>
        <w:t xml:space="preserve"> Law Journal</w:t>
      </w:r>
      <w:r>
        <w:rPr>
          <w:rFonts w:ascii="Times New Roman" w:hAnsi="Times New Roman" w:cs="Times New Roman"/>
          <w:bCs/>
          <w:i/>
          <w:lang w:val="fr-FR"/>
        </w:rPr>
        <w:t xml:space="preserve">, </w:t>
      </w:r>
      <w:r>
        <w:rPr>
          <w:rFonts w:ascii="Times New Roman" w:hAnsi="Times New Roman" w:cs="Times New Roman"/>
          <w:bCs/>
          <w:lang w:val="fr-FR"/>
        </w:rPr>
        <w:t xml:space="preserve">Vol. </w:t>
      </w:r>
      <w:proofErr w:type="gramStart"/>
      <w:r>
        <w:rPr>
          <w:rFonts w:ascii="Times New Roman" w:hAnsi="Times New Roman" w:cs="Times New Roman"/>
          <w:bCs/>
          <w:lang w:val="fr-FR"/>
        </w:rPr>
        <w:t xml:space="preserve">11 </w:t>
      </w:r>
      <w:r w:rsidRPr="00436240">
        <w:rPr>
          <w:rFonts w:ascii="Times New Roman" w:hAnsi="Times New Roman" w:cs="Times New Roman"/>
          <w:lang w:val="en-CA"/>
        </w:rPr>
        <w:t>,</w:t>
      </w:r>
      <w:proofErr w:type="gramEnd"/>
      <w:r w:rsidRPr="00436240">
        <w:rPr>
          <w:rFonts w:ascii="Times New Roman" w:hAnsi="Times New Roman" w:cs="Times New Roman"/>
          <w:lang w:val="en-CA"/>
        </w:rPr>
        <w:t xml:space="preserve"> n</w:t>
      </w:r>
      <w:r w:rsidRPr="00436240">
        <w:rPr>
          <w:rFonts w:ascii="Times New Roman" w:hAnsi="Times New Roman" w:cs="Times New Roman"/>
          <w:vertAlign w:val="superscript"/>
          <w:lang w:val="en-CA"/>
        </w:rPr>
        <w:t xml:space="preserve">o </w:t>
      </w:r>
      <w:r w:rsidRPr="00436240">
        <w:rPr>
          <w:rFonts w:ascii="Times New Roman" w:hAnsi="Times New Roman" w:cs="Times New Roman"/>
          <w:lang w:val="en-CA"/>
        </w:rPr>
        <w:t>1 :</w:t>
      </w:r>
      <w:r>
        <w:rPr>
          <w:rFonts w:ascii="Times New Roman" w:hAnsi="Times New Roman" w:cs="Times New Roman"/>
          <w:lang w:val="en-CA"/>
        </w:rPr>
        <w:t xml:space="preserve"> 64-93.</w:t>
      </w:r>
    </w:p>
    <w:p w14:paraId="07D09904" w14:textId="77777777" w:rsidR="00B04F23" w:rsidRPr="00B04F23" w:rsidRDefault="00B04F23" w:rsidP="00D33340">
      <w:pPr>
        <w:pStyle w:val="Listepuces"/>
        <w:numPr>
          <w:ilvl w:val="0"/>
          <w:numId w:val="0"/>
        </w:numPr>
        <w:ind w:left="360" w:hanging="360"/>
        <w:jc w:val="both"/>
        <w:rPr>
          <w:rFonts w:ascii="Times New Roman" w:hAnsi="Times New Roman" w:cs="Times New Roman"/>
          <w:sz w:val="10"/>
          <w:lang w:val="en-CA"/>
        </w:rPr>
      </w:pPr>
    </w:p>
    <w:p w14:paraId="093C4978" w14:textId="66E130EB" w:rsidR="00D33340" w:rsidRPr="00436240" w:rsidRDefault="00D33340" w:rsidP="00D33340">
      <w:pPr>
        <w:pStyle w:val="Listepuces"/>
        <w:numPr>
          <w:ilvl w:val="0"/>
          <w:numId w:val="0"/>
        </w:numPr>
        <w:ind w:left="360" w:hanging="360"/>
        <w:jc w:val="both"/>
        <w:rPr>
          <w:rFonts w:ascii="Times New Roman" w:hAnsi="Times New Roman" w:cs="Times New Roman"/>
          <w:lang w:val="en-CA"/>
        </w:rPr>
      </w:pPr>
      <w:r w:rsidRPr="21F97FCD">
        <w:rPr>
          <w:rFonts w:ascii="Times New Roman" w:eastAsia="Times New Roman" w:hAnsi="Times New Roman" w:cs="Times New Roman"/>
          <w:smallCaps/>
          <w:lang w:val="en-CA"/>
        </w:rPr>
        <w:t xml:space="preserve">Duffield </w:t>
      </w:r>
      <w:r w:rsidRPr="21F97FCD">
        <w:rPr>
          <w:rFonts w:ascii="Times New Roman" w:eastAsia="Times New Roman" w:hAnsi="Times New Roman" w:cs="Times New Roman"/>
          <w:lang w:val="en-CA"/>
        </w:rPr>
        <w:t>John, 2007, « What A</w:t>
      </w:r>
      <w:r w:rsidR="00D6628D">
        <w:rPr>
          <w:rFonts w:ascii="Times New Roman" w:eastAsia="Times New Roman" w:hAnsi="Times New Roman" w:cs="Times New Roman"/>
          <w:lang w:val="en-CA"/>
        </w:rPr>
        <w:t>re International Institutions? </w:t>
      </w:r>
      <w:r w:rsidRPr="21F97FCD">
        <w:rPr>
          <w:rFonts w:ascii="Times New Roman" w:eastAsia="Times New Roman" w:hAnsi="Times New Roman" w:cs="Times New Roman"/>
          <w:lang w:val="en-CA"/>
        </w:rPr>
        <w:t xml:space="preserve">», </w:t>
      </w:r>
      <w:r w:rsidRPr="21F97FCD">
        <w:rPr>
          <w:rFonts w:ascii="Times New Roman" w:eastAsia="Times New Roman" w:hAnsi="Times New Roman" w:cs="Times New Roman"/>
          <w:i/>
          <w:iCs/>
          <w:lang w:val="en-CA"/>
        </w:rPr>
        <w:t>International Studies Review</w:t>
      </w:r>
      <w:r w:rsidRPr="21F97FCD">
        <w:rPr>
          <w:rFonts w:ascii="Times New Roman" w:eastAsia="Times New Roman" w:hAnsi="Times New Roman" w:cs="Times New Roman"/>
          <w:lang w:val="en-CA"/>
        </w:rPr>
        <w:t>, Vol. 9, n</w:t>
      </w:r>
      <w:r w:rsidRPr="21F97FCD">
        <w:rPr>
          <w:rFonts w:ascii="Times New Roman" w:eastAsia="Times New Roman" w:hAnsi="Times New Roman" w:cs="Times New Roman"/>
          <w:vertAlign w:val="superscript"/>
          <w:lang w:val="en-CA"/>
        </w:rPr>
        <w:t xml:space="preserve">o </w:t>
      </w:r>
      <w:proofErr w:type="gramStart"/>
      <w:r w:rsidRPr="21F97FCD">
        <w:rPr>
          <w:rFonts w:ascii="Times New Roman" w:eastAsia="Times New Roman" w:hAnsi="Times New Roman" w:cs="Times New Roman"/>
          <w:lang w:val="en-CA"/>
        </w:rPr>
        <w:t>1 :</w:t>
      </w:r>
      <w:proofErr w:type="gramEnd"/>
      <w:r w:rsidRPr="21F97FCD">
        <w:rPr>
          <w:rFonts w:ascii="Times New Roman" w:eastAsia="Times New Roman" w:hAnsi="Times New Roman" w:cs="Times New Roman"/>
          <w:lang w:val="en-CA"/>
        </w:rPr>
        <w:t xml:space="preserve"> 1-22.</w:t>
      </w:r>
    </w:p>
    <w:p w14:paraId="68DB2648" w14:textId="77777777" w:rsidR="00D33340" w:rsidRPr="00436240" w:rsidRDefault="00D33340" w:rsidP="00D33340">
      <w:pPr>
        <w:pStyle w:val="Listepuces"/>
        <w:numPr>
          <w:ilvl w:val="0"/>
          <w:numId w:val="0"/>
        </w:numPr>
        <w:jc w:val="both"/>
        <w:rPr>
          <w:rFonts w:ascii="Times New Roman" w:hAnsi="Times New Roman" w:cs="Times New Roman"/>
          <w:sz w:val="10"/>
          <w:lang w:val="en-CA"/>
        </w:rPr>
      </w:pPr>
    </w:p>
    <w:p w14:paraId="3A588002"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Dumberry</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Patrick, 2013, </w:t>
      </w:r>
      <w:r w:rsidRPr="00D33340">
        <w:rPr>
          <w:rFonts w:ascii="Times New Roman" w:hAnsi="Times New Roman" w:cs="Times New Roman"/>
          <w:i/>
          <w:lang w:val="en-CA"/>
        </w:rPr>
        <w:t>The Fair and Equitable Treatment Standard: A Guide to NAFTA Case Law on Article 1105</w:t>
      </w:r>
      <w:r w:rsidRPr="00D33340">
        <w:rPr>
          <w:rFonts w:ascii="Times New Roman" w:hAnsi="Times New Roman" w:cs="Times New Roman"/>
          <w:lang w:val="en-CA"/>
        </w:rPr>
        <w:t xml:space="preserve">, Austin, </w:t>
      </w:r>
      <w:proofErr w:type="spellStart"/>
      <w:r w:rsidRPr="00D33340">
        <w:rPr>
          <w:rFonts w:ascii="Times New Roman" w:hAnsi="Times New Roman" w:cs="Times New Roman"/>
          <w:lang w:val="en-CA"/>
        </w:rPr>
        <w:t>Wolters</w:t>
      </w:r>
      <w:proofErr w:type="spellEnd"/>
      <w:r w:rsidRPr="00D33340">
        <w:rPr>
          <w:rFonts w:ascii="Times New Roman" w:hAnsi="Times New Roman" w:cs="Times New Roman"/>
          <w:lang w:val="en-CA"/>
        </w:rPr>
        <w:t xml:space="preserve"> Kluwer Law &amp; Business.</w:t>
      </w:r>
    </w:p>
    <w:p w14:paraId="70339D1F"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71FAAA5" w14:textId="75B741A1"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Elkins </w:t>
      </w:r>
      <w:r w:rsidRPr="00D33340">
        <w:rPr>
          <w:rFonts w:ascii="Times New Roman" w:hAnsi="Times New Roman" w:cs="Times New Roman"/>
          <w:lang w:val="en-CA"/>
        </w:rPr>
        <w:t xml:space="preserve">Zachary, Andrew T. </w:t>
      </w:r>
      <w:r w:rsidRPr="00D33340">
        <w:rPr>
          <w:rFonts w:ascii="Times New Roman" w:hAnsi="Times New Roman" w:cs="Times New Roman"/>
          <w:smallCaps/>
          <w:lang w:val="en-CA"/>
        </w:rPr>
        <w:t xml:space="preserve">Guzman </w:t>
      </w:r>
      <w:r w:rsidRPr="00D33340">
        <w:rPr>
          <w:rFonts w:ascii="Times New Roman" w:hAnsi="Times New Roman" w:cs="Times New Roman"/>
          <w:lang w:val="en-CA"/>
        </w:rPr>
        <w:t xml:space="preserve">et Beth </w:t>
      </w:r>
      <w:r w:rsidRPr="00D33340">
        <w:rPr>
          <w:rFonts w:ascii="Times New Roman" w:hAnsi="Times New Roman" w:cs="Times New Roman"/>
          <w:smallCaps/>
          <w:lang w:val="en-CA"/>
        </w:rPr>
        <w:t xml:space="preserve">Simmons, 2008, « </w:t>
      </w:r>
      <w:r w:rsidR="00D6628D">
        <w:rPr>
          <w:rFonts w:ascii="Times New Roman" w:hAnsi="Times New Roman" w:cs="Times New Roman"/>
          <w:lang w:val="en-CA"/>
        </w:rPr>
        <w:t>Competing for Capital</w:t>
      </w:r>
      <w:r w:rsidRPr="00D33340">
        <w:rPr>
          <w:rFonts w:ascii="Times New Roman" w:hAnsi="Times New Roman" w:cs="Times New Roman"/>
          <w:lang w:val="en-CA"/>
        </w:rPr>
        <w:t>: The Diffusion of Bilateral Investment Treaties, 1960-2000 »</w:t>
      </w:r>
      <w:r w:rsidRPr="00D33340">
        <w:rPr>
          <w:rFonts w:ascii="Times New Roman" w:hAnsi="Times New Roman" w:cs="Times New Roman"/>
          <w:smallCaps/>
          <w:lang w:val="en-CA"/>
        </w:rPr>
        <w:t xml:space="preserve">, </w:t>
      </w:r>
      <w:r w:rsidRPr="00D33340">
        <w:rPr>
          <w:rFonts w:ascii="Times New Roman" w:hAnsi="Times New Roman" w:cs="Times New Roman"/>
          <w:i/>
          <w:lang w:val="en-CA"/>
        </w:rPr>
        <w:t xml:space="preserve">International Organization, </w:t>
      </w:r>
      <w:r w:rsidRPr="00D33340">
        <w:rPr>
          <w:rFonts w:ascii="Times New Roman" w:hAnsi="Times New Roman" w:cs="Times New Roman"/>
          <w:lang w:val="en-CA"/>
        </w:rPr>
        <w:t>Vol. 60,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811-846.</w:t>
      </w:r>
    </w:p>
    <w:p w14:paraId="64E2437F" w14:textId="77777777" w:rsidR="00D33340" w:rsidRPr="00D33340" w:rsidRDefault="00D33340" w:rsidP="00D33340">
      <w:pPr>
        <w:pStyle w:val="Listepuces"/>
        <w:numPr>
          <w:ilvl w:val="0"/>
          <w:numId w:val="0"/>
        </w:numPr>
        <w:ind w:left="360" w:hanging="360"/>
        <w:jc w:val="both"/>
        <w:rPr>
          <w:rFonts w:ascii="Times New Roman" w:hAnsi="Times New Roman" w:cs="Times New Roman"/>
          <w:smallCaps/>
          <w:sz w:val="10"/>
          <w:lang w:val="en-CA"/>
        </w:rPr>
      </w:pPr>
    </w:p>
    <w:p w14:paraId="57444AE2"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Fontanelli</w:t>
      </w:r>
      <w:proofErr w:type="spellEnd"/>
      <w:r w:rsidRPr="00D33340">
        <w:rPr>
          <w:rFonts w:ascii="Times New Roman" w:hAnsi="Times New Roman" w:cs="Times New Roman"/>
          <w:smallCaps/>
          <w:lang w:val="en-CA"/>
        </w:rPr>
        <w:t xml:space="preserve"> </w:t>
      </w:r>
      <w:proofErr w:type="spellStart"/>
      <w:r w:rsidRPr="00D33340">
        <w:rPr>
          <w:rFonts w:ascii="Times New Roman" w:hAnsi="Times New Roman" w:cs="Times New Roman"/>
          <w:lang w:val="en-CA"/>
        </w:rPr>
        <w:t>Filippo</w:t>
      </w:r>
      <w:proofErr w:type="spellEnd"/>
      <w:r w:rsidRPr="00D33340">
        <w:rPr>
          <w:rFonts w:ascii="Times New Roman" w:hAnsi="Times New Roman" w:cs="Times New Roman"/>
          <w:lang w:val="en-CA"/>
        </w:rPr>
        <w:t xml:space="preserve"> et Giuseppe </w:t>
      </w:r>
      <w:proofErr w:type="spellStart"/>
      <w:r w:rsidRPr="00D33340">
        <w:rPr>
          <w:rFonts w:ascii="Times New Roman" w:hAnsi="Times New Roman" w:cs="Times New Roman"/>
          <w:smallCaps/>
          <w:lang w:val="en-CA"/>
        </w:rPr>
        <w:t>Bianco</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2014, « Article: Converging Towards NAFTA: An Analysis of FTA Investment Chapters in the European Union and the United States », </w:t>
      </w:r>
      <w:r w:rsidRPr="00D33340">
        <w:rPr>
          <w:rFonts w:ascii="Times New Roman" w:hAnsi="Times New Roman" w:cs="Times New Roman"/>
          <w:i/>
          <w:lang w:val="en-CA"/>
        </w:rPr>
        <w:t xml:space="preserve">Stanford Journal of International Law, </w:t>
      </w:r>
      <w:r w:rsidRPr="00D33340">
        <w:rPr>
          <w:rFonts w:ascii="Times New Roman" w:hAnsi="Times New Roman" w:cs="Times New Roman"/>
          <w:lang w:val="en-CA"/>
        </w:rPr>
        <w:t>Vol. 50,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211-266.</w:t>
      </w:r>
    </w:p>
    <w:p w14:paraId="71F9A195"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10B8B709" w14:textId="34A8F57F"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lastRenderedPageBreak/>
        <w:t>Gehring</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Thomas et Benjamin </w:t>
      </w:r>
      <w:proofErr w:type="spellStart"/>
      <w:r w:rsidRPr="00D33340">
        <w:rPr>
          <w:rFonts w:ascii="Times New Roman" w:hAnsi="Times New Roman" w:cs="Times New Roman"/>
          <w:smallCaps/>
          <w:lang w:val="en-CA"/>
        </w:rPr>
        <w:t>Faude</w:t>
      </w:r>
      <w:proofErr w:type="spellEnd"/>
      <w:r w:rsidRPr="00D33340">
        <w:rPr>
          <w:rFonts w:ascii="Times New Roman" w:hAnsi="Times New Roman" w:cs="Times New Roman"/>
          <w:smallCaps/>
          <w:lang w:val="en-CA"/>
        </w:rPr>
        <w:t xml:space="preserve">, 2013, « </w:t>
      </w:r>
      <w:r w:rsidRPr="00D33340">
        <w:rPr>
          <w:rFonts w:ascii="Times New Roman" w:hAnsi="Times New Roman" w:cs="Times New Roman"/>
          <w:lang w:val="en-CA"/>
        </w:rPr>
        <w:t>T</w:t>
      </w:r>
      <w:r w:rsidR="00835D52">
        <w:rPr>
          <w:rFonts w:ascii="Times New Roman" w:hAnsi="Times New Roman" w:cs="Times New Roman"/>
          <w:lang w:val="en-CA"/>
        </w:rPr>
        <w:t>he Dynamics of Regime Complexes</w:t>
      </w:r>
      <w:r w:rsidRPr="00D33340">
        <w:rPr>
          <w:rFonts w:ascii="Times New Roman" w:hAnsi="Times New Roman" w:cs="Times New Roman"/>
          <w:lang w:val="en-CA"/>
        </w:rPr>
        <w:t xml:space="preserve">: </w:t>
      </w:r>
      <w:proofErr w:type="spellStart"/>
      <w:r w:rsidRPr="00D33340">
        <w:rPr>
          <w:rFonts w:ascii="Times New Roman" w:hAnsi="Times New Roman" w:cs="Times New Roman"/>
          <w:lang w:val="en-CA"/>
        </w:rPr>
        <w:t>Microfoundations</w:t>
      </w:r>
      <w:proofErr w:type="spellEnd"/>
      <w:r w:rsidRPr="00D33340">
        <w:rPr>
          <w:rFonts w:ascii="Times New Roman" w:hAnsi="Times New Roman" w:cs="Times New Roman"/>
          <w:lang w:val="en-CA"/>
        </w:rPr>
        <w:t xml:space="preserve"> and Systemic Effects </w:t>
      </w:r>
      <w:r w:rsidRPr="00D33340">
        <w:rPr>
          <w:rFonts w:ascii="Times New Roman" w:hAnsi="Times New Roman" w:cs="Times New Roman"/>
          <w:smallCaps/>
          <w:lang w:val="en-CA"/>
        </w:rPr>
        <w:t xml:space="preserve">», </w:t>
      </w:r>
      <w:r w:rsidRPr="00D33340">
        <w:rPr>
          <w:rFonts w:ascii="Times New Roman" w:hAnsi="Times New Roman" w:cs="Times New Roman"/>
          <w:i/>
          <w:lang w:val="en-CA"/>
        </w:rPr>
        <w:t xml:space="preserve">Global Governance, </w:t>
      </w:r>
      <w:r w:rsidRPr="00D33340">
        <w:rPr>
          <w:rFonts w:ascii="Times New Roman" w:hAnsi="Times New Roman" w:cs="Times New Roman"/>
          <w:lang w:val="en-CA"/>
        </w:rPr>
        <w:t>Vol. 19,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119-130. </w:t>
      </w:r>
    </w:p>
    <w:p w14:paraId="195288F2" w14:textId="77777777" w:rsidR="00D33340" w:rsidRPr="00D33340" w:rsidRDefault="00D33340" w:rsidP="00D33340">
      <w:pPr>
        <w:pStyle w:val="Listepuces"/>
        <w:numPr>
          <w:ilvl w:val="0"/>
          <w:numId w:val="0"/>
        </w:numPr>
        <w:jc w:val="both"/>
        <w:rPr>
          <w:rFonts w:ascii="Times New Roman" w:hAnsi="Times New Roman" w:cs="Times New Roman"/>
          <w:smallCaps/>
          <w:sz w:val="10"/>
          <w:lang w:val="en-CA"/>
        </w:rPr>
      </w:pPr>
    </w:p>
    <w:p w14:paraId="0E5C79FE"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Guzman </w:t>
      </w:r>
      <w:r w:rsidRPr="00D33340">
        <w:rPr>
          <w:rFonts w:ascii="Times New Roman" w:hAnsi="Times New Roman" w:cs="Times New Roman"/>
          <w:lang w:val="en-CA"/>
        </w:rPr>
        <w:t xml:space="preserve">Andrew T., 1998, « Why LDCs Sign Treaties That Hurt Them: Explaining the Popularity of Bilateral Investment Treaties », </w:t>
      </w:r>
      <w:r w:rsidRPr="00D33340">
        <w:rPr>
          <w:rFonts w:ascii="Times New Roman" w:hAnsi="Times New Roman" w:cs="Times New Roman"/>
          <w:i/>
          <w:iCs/>
          <w:lang w:val="en-CA"/>
        </w:rPr>
        <w:t>Virginia Journal of International Law</w:t>
      </w:r>
      <w:r w:rsidRPr="00D33340">
        <w:rPr>
          <w:rFonts w:ascii="Times New Roman" w:hAnsi="Times New Roman" w:cs="Times New Roman"/>
          <w:lang w:val="en-CA"/>
        </w:rPr>
        <w:t>, Vol. 38,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639-688.</w:t>
      </w:r>
    </w:p>
    <w:p w14:paraId="0CC0C318" w14:textId="77777777" w:rsidR="00D33340" w:rsidRPr="00D33340" w:rsidRDefault="00D33340" w:rsidP="00D33340">
      <w:pPr>
        <w:pStyle w:val="Listepuces"/>
        <w:numPr>
          <w:ilvl w:val="0"/>
          <w:numId w:val="0"/>
        </w:numPr>
        <w:ind w:left="360" w:hanging="360"/>
        <w:jc w:val="both"/>
        <w:rPr>
          <w:rFonts w:ascii="Times New Roman" w:hAnsi="Times New Roman" w:cs="Times New Roman"/>
          <w:i/>
          <w:sz w:val="10"/>
          <w:lang w:val="en-CA"/>
        </w:rPr>
      </w:pPr>
    </w:p>
    <w:p w14:paraId="5A091D93" w14:textId="6A78775F"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Haas </w:t>
      </w:r>
      <w:proofErr w:type="spellStart"/>
      <w:r w:rsidR="00D6628D">
        <w:rPr>
          <w:rFonts w:ascii="Times New Roman" w:hAnsi="Times New Roman" w:cs="Times New Roman"/>
          <w:lang w:val="en-CA"/>
        </w:rPr>
        <w:t>Ersnt</w:t>
      </w:r>
      <w:proofErr w:type="spellEnd"/>
      <w:r w:rsidR="00D6628D">
        <w:rPr>
          <w:rFonts w:ascii="Times New Roman" w:hAnsi="Times New Roman" w:cs="Times New Roman"/>
          <w:lang w:val="en-CA"/>
        </w:rPr>
        <w:t>, 1982, « Words Can Hurt You; Or, Who Said What to Whom a</w:t>
      </w:r>
      <w:r w:rsidRPr="00D33340">
        <w:rPr>
          <w:rFonts w:ascii="Times New Roman" w:hAnsi="Times New Roman" w:cs="Times New Roman"/>
          <w:lang w:val="en-CA"/>
        </w:rPr>
        <w:t xml:space="preserve">bout Regimes », </w:t>
      </w:r>
      <w:r w:rsidRPr="00D33340">
        <w:rPr>
          <w:rFonts w:ascii="Times New Roman" w:hAnsi="Times New Roman" w:cs="Times New Roman"/>
          <w:i/>
          <w:lang w:val="en-CA"/>
        </w:rPr>
        <w:t xml:space="preserve">International Organization, </w:t>
      </w:r>
      <w:r w:rsidRPr="00D33340">
        <w:rPr>
          <w:rFonts w:ascii="Times New Roman" w:hAnsi="Times New Roman" w:cs="Times New Roman"/>
          <w:lang w:val="en-CA"/>
        </w:rPr>
        <w:t>Vol. 36,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207-243.</w:t>
      </w:r>
    </w:p>
    <w:p w14:paraId="2AC07089"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33AA1355" w14:textId="50DEE3F3"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Haas </w:t>
      </w:r>
      <w:r w:rsidRPr="00D33340">
        <w:rPr>
          <w:rFonts w:ascii="Times New Roman" w:hAnsi="Times New Roman" w:cs="Times New Roman"/>
          <w:lang w:val="en-CA"/>
        </w:rPr>
        <w:t xml:space="preserve">Peter, 1992, « Epistemic Communities and International Policy Coordination », </w:t>
      </w:r>
      <w:r w:rsidRPr="00D33340">
        <w:rPr>
          <w:rFonts w:ascii="Times New Roman" w:hAnsi="Times New Roman" w:cs="Times New Roman"/>
          <w:i/>
          <w:lang w:val="en-CA"/>
        </w:rPr>
        <w:t xml:space="preserve">International Organization, </w:t>
      </w:r>
      <w:r w:rsidRPr="00D33340">
        <w:rPr>
          <w:rFonts w:ascii="Times New Roman" w:hAnsi="Times New Roman" w:cs="Times New Roman"/>
          <w:lang w:val="en-CA"/>
        </w:rPr>
        <w:t>Vol. 46,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1-35.</w:t>
      </w:r>
    </w:p>
    <w:p w14:paraId="1EB47C5F"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D140FD9"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Hafner</w:t>
      </w:r>
      <w:proofErr w:type="spellEnd"/>
      <w:r w:rsidRPr="00D33340">
        <w:rPr>
          <w:rFonts w:ascii="Times New Roman" w:hAnsi="Times New Roman" w:cs="Times New Roman"/>
          <w:smallCaps/>
          <w:lang w:val="en-CA"/>
        </w:rPr>
        <w:t xml:space="preserve">-Burton </w:t>
      </w:r>
      <w:proofErr w:type="spellStart"/>
      <w:r w:rsidRPr="00D33340">
        <w:rPr>
          <w:rFonts w:ascii="Times New Roman" w:hAnsi="Times New Roman" w:cs="Times New Roman"/>
          <w:lang w:val="en-CA"/>
        </w:rPr>
        <w:t>Émilie</w:t>
      </w:r>
      <w:proofErr w:type="spellEnd"/>
      <w:r w:rsidRPr="00D33340">
        <w:rPr>
          <w:rFonts w:ascii="Times New Roman" w:hAnsi="Times New Roman" w:cs="Times New Roman"/>
          <w:lang w:val="en-CA"/>
        </w:rPr>
        <w:t xml:space="preserve"> M., 2009, « The Power Politics of Regime Complexity: Human Rights Trade Conditionality in Europe », </w:t>
      </w:r>
      <w:r w:rsidRPr="00D33340">
        <w:rPr>
          <w:rFonts w:ascii="Times New Roman" w:hAnsi="Times New Roman" w:cs="Times New Roman"/>
          <w:i/>
          <w:lang w:val="en-CA"/>
        </w:rPr>
        <w:t xml:space="preserve">Perspectives on Politics, </w:t>
      </w:r>
      <w:r w:rsidRPr="00D33340">
        <w:rPr>
          <w:rFonts w:ascii="Times New Roman" w:hAnsi="Times New Roman" w:cs="Times New Roman"/>
          <w:lang w:val="en-CA"/>
        </w:rPr>
        <w:t>Vol. 7,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33-37.</w:t>
      </w:r>
    </w:p>
    <w:p w14:paraId="55B0A84F"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7535CC8B"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Haggard </w:t>
      </w:r>
      <w:r w:rsidRPr="00D33340">
        <w:rPr>
          <w:rFonts w:ascii="Times New Roman" w:hAnsi="Times New Roman" w:cs="Times New Roman"/>
          <w:lang w:val="en-CA"/>
        </w:rPr>
        <w:t xml:space="preserve">Stephan et Beth A. </w:t>
      </w:r>
      <w:r w:rsidRPr="00D33340">
        <w:rPr>
          <w:rFonts w:ascii="Times New Roman" w:hAnsi="Times New Roman" w:cs="Times New Roman"/>
          <w:smallCaps/>
          <w:lang w:val="en-CA"/>
        </w:rPr>
        <w:t xml:space="preserve">Simmons, </w:t>
      </w:r>
      <w:r w:rsidRPr="00D33340">
        <w:rPr>
          <w:rFonts w:ascii="Times New Roman" w:hAnsi="Times New Roman" w:cs="Times New Roman"/>
          <w:lang w:val="en-CA"/>
        </w:rPr>
        <w:t xml:space="preserve">1987, « Theories of International Regimes », </w:t>
      </w:r>
      <w:r w:rsidRPr="00D33340">
        <w:rPr>
          <w:rFonts w:ascii="Times New Roman" w:hAnsi="Times New Roman" w:cs="Times New Roman"/>
          <w:i/>
          <w:lang w:val="en-CA"/>
        </w:rPr>
        <w:t xml:space="preserve">International Organization, </w:t>
      </w:r>
      <w:r w:rsidRPr="00D33340">
        <w:rPr>
          <w:rFonts w:ascii="Times New Roman" w:hAnsi="Times New Roman" w:cs="Times New Roman"/>
          <w:lang w:val="en-CA"/>
        </w:rPr>
        <w:t>Vol. 41,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3 :</w:t>
      </w:r>
      <w:proofErr w:type="gramEnd"/>
      <w:r w:rsidRPr="00D33340">
        <w:rPr>
          <w:rFonts w:ascii="Times New Roman" w:hAnsi="Times New Roman" w:cs="Times New Roman"/>
          <w:lang w:val="en-CA"/>
        </w:rPr>
        <w:t xml:space="preserve"> 491-517.</w:t>
      </w:r>
    </w:p>
    <w:p w14:paraId="2BF4D547"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6AA6C41B" w14:textId="6B683633"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Henquet</w:t>
      </w:r>
      <w:proofErr w:type="spellEnd"/>
      <w:r w:rsidRPr="00D33340">
        <w:rPr>
          <w:rFonts w:ascii="Times New Roman" w:hAnsi="Times New Roman" w:cs="Times New Roman"/>
          <w:smallCaps/>
          <w:lang w:val="en-CA"/>
        </w:rPr>
        <w:t xml:space="preserve"> </w:t>
      </w:r>
      <w:r w:rsidR="00D6628D">
        <w:rPr>
          <w:rFonts w:ascii="Times New Roman" w:hAnsi="Times New Roman" w:cs="Times New Roman"/>
          <w:lang w:val="en-CA"/>
        </w:rPr>
        <w:t>Thomas, 2013, « International I</w:t>
      </w:r>
      <w:r w:rsidRPr="00D33340">
        <w:rPr>
          <w:rFonts w:ascii="Times New Roman" w:hAnsi="Times New Roman" w:cs="Times New Roman"/>
          <w:lang w:val="en-CA"/>
        </w:rPr>
        <w:t>nvestm</w:t>
      </w:r>
      <w:r w:rsidR="00D6628D">
        <w:rPr>
          <w:rFonts w:ascii="Times New Roman" w:hAnsi="Times New Roman" w:cs="Times New Roman"/>
          <w:lang w:val="en-CA"/>
        </w:rPr>
        <w:t>ent and the European Union: an Uneasy R</w:t>
      </w:r>
      <w:r w:rsidRPr="00D33340">
        <w:rPr>
          <w:rFonts w:ascii="Times New Roman" w:hAnsi="Times New Roman" w:cs="Times New Roman"/>
          <w:lang w:val="en-CA"/>
        </w:rPr>
        <w:t xml:space="preserve">elationship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F. </w:t>
      </w:r>
      <w:proofErr w:type="spellStart"/>
      <w:r w:rsidRPr="00D33340">
        <w:rPr>
          <w:rFonts w:ascii="Times New Roman" w:hAnsi="Times New Roman" w:cs="Times New Roman"/>
          <w:smallCaps/>
          <w:lang w:val="en-CA"/>
        </w:rPr>
        <w:t>Beatens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i/>
          <w:lang w:val="en-CA"/>
        </w:rPr>
        <w:t>Investment Law Within International Law: Integrationist Perspectives</w:t>
      </w:r>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New-York, Cambridge University </w:t>
      </w:r>
      <w:proofErr w:type="gramStart"/>
      <w:r w:rsidRPr="00D33340">
        <w:rPr>
          <w:rFonts w:ascii="Times New Roman" w:hAnsi="Times New Roman" w:cs="Times New Roman"/>
          <w:lang w:val="en-CA"/>
        </w:rPr>
        <w:t>Press :</w:t>
      </w:r>
      <w:proofErr w:type="gramEnd"/>
      <w:r w:rsidRPr="00D33340">
        <w:rPr>
          <w:rFonts w:ascii="Times New Roman" w:hAnsi="Times New Roman" w:cs="Times New Roman"/>
          <w:lang w:val="en-CA"/>
        </w:rPr>
        <w:t xml:space="preserve"> 375-386.</w:t>
      </w:r>
    </w:p>
    <w:p w14:paraId="1ABE2C4F"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CB686C7" w14:textId="0C69A308"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Herrmann </w:t>
      </w:r>
      <w:proofErr w:type="spellStart"/>
      <w:r w:rsidRPr="00D33340">
        <w:rPr>
          <w:rFonts w:ascii="Times New Roman" w:hAnsi="Times New Roman" w:cs="Times New Roman"/>
          <w:lang w:val="en-CA"/>
        </w:rPr>
        <w:t>Christoph</w:t>
      </w:r>
      <w:proofErr w:type="spellEnd"/>
      <w:r w:rsidRPr="00D33340">
        <w:rPr>
          <w:rFonts w:ascii="Times New Roman" w:hAnsi="Times New Roman" w:cs="Times New Roman"/>
          <w:lang w:val="en-CA"/>
        </w:rPr>
        <w:t>, 2014, « The Role of the Court of Justice of the E</w:t>
      </w:r>
      <w:r w:rsidR="00D6628D">
        <w:rPr>
          <w:rFonts w:ascii="Times New Roman" w:hAnsi="Times New Roman" w:cs="Times New Roman"/>
          <w:lang w:val="en-CA"/>
        </w:rPr>
        <w:t>uropean Union in the Emerging EU</w:t>
      </w:r>
      <w:r w:rsidRPr="00D33340">
        <w:rPr>
          <w:rFonts w:ascii="Times New Roman" w:hAnsi="Times New Roman" w:cs="Times New Roman"/>
          <w:lang w:val="en-CA"/>
        </w:rPr>
        <w:t xml:space="preserve"> Investment Policy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570-584.</w:t>
      </w:r>
    </w:p>
    <w:p w14:paraId="515D3CFC"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0F96E56" w14:textId="37A87E3F"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Hoffmeister</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Frank et Gabriela </w:t>
      </w:r>
      <w:proofErr w:type="spellStart"/>
      <w:r w:rsidRPr="00D33340">
        <w:rPr>
          <w:rFonts w:ascii="Times New Roman" w:hAnsi="Times New Roman" w:cs="Times New Roman"/>
          <w:smallCaps/>
          <w:lang w:val="en-CA"/>
        </w:rPr>
        <w:t>Alexandru</w:t>
      </w:r>
      <w:proofErr w:type="spellEnd"/>
      <w:r w:rsidRPr="00D33340">
        <w:rPr>
          <w:rFonts w:ascii="Times New Roman" w:hAnsi="Times New Roman" w:cs="Times New Roman"/>
          <w:smallCaps/>
          <w:lang w:val="en-CA"/>
        </w:rPr>
        <w:t xml:space="preserve">, 2014, « </w:t>
      </w:r>
      <w:r w:rsidRPr="00D33340">
        <w:rPr>
          <w:rFonts w:ascii="Times New Roman" w:hAnsi="Times New Roman" w:cs="Times New Roman"/>
          <w:lang w:val="en-CA"/>
        </w:rPr>
        <w:t>A First Glimpse of Li</w:t>
      </w:r>
      <w:r w:rsidR="00344B01">
        <w:rPr>
          <w:rFonts w:ascii="Times New Roman" w:hAnsi="Times New Roman" w:cs="Times New Roman"/>
          <w:lang w:val="en-CA"/>
        </w:rPr>
        <w:t>ght on the Emerging Invisible EU</w:t>
      </w:r>
      <w:r w:rsidRPr="00D33340">
        <w:rPr>
          <w:rFonts w:ascii="Times New Roman" w:hAnsi="Times New Roman" w:cs="Times New Roman"/>
          <w:lang w:val="en-CA"/>
        </w:rPr>
        <w:t xml:space="preserve"> Model BIT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379-401.</w:t>
      </w:r>
    </w:p>
    <w:p w14:paraId="7C0A8419"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3A7AAF64" w14:textId="5A2F17C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Johnson </w:t>
      </w:r>
      <w:r w:rsidRPr="00D33340">
        <w:rPr>
          <w:rFonts w:ascii="Times New Roman" w:hAnsi="Times New Roman" w:cs="Times New Roman"/>
          <w:lang w:val="en-CA"/>
        </w:rPr>
        <w:t xml:space="preserve">Pierre-Marc, Patrick </w:t>
      </w:r>
      <w:proofErr w:type="spellStart"/>
      <w:r w:rsidRPr="00D33340">
        <w:rPr>
          <w:rFonts w:ascii="Times New Roman" w:hAnsi="Times New Roman" w:cs="Times New Roman"/>
          <w:smallCaps/>
          <w:lang w:val="en-CA"/>
        </w:rPr>
        <w:t>Muzzi</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et </w:t>
      </w:r>
      <w:proofErr w:type="spellStart"/>
      <w:r w:rsidRPr="00D33340">
        <w:rPr>
          <w:rFonts w:ascii="Times New Roman" w:hAnsi="Times New Roman" w:cs="Times New Roman"/>
          <w:lang w:val="en-CA"/>
        </w:rPr>
        <w:t>Véronique</w:t>
      </w:r>
      <w:proofErr w:type="spellEnd"/>
      <w:r w:rsidRPr="00D33340">
        <w:rPr>
          <w:rFonts w:ascii="Times New Roman" w:hAnsi="Times New Roman" w:cs="Times New Roman"/>
          <w:lang w:val="en-CA"/>
        </w:rPr>
        <w:t xml:space="preserve"> </w:t>
      </w:r>
      <w:proofErr w:type="spellStart"/>
      <w:r w:rsidRPr="00D33340">
        <w:rPr>
          <w:rFonts w:ascii="Times New Roman" w:hAnsi="Times New Roman" w:cs="Times New Roman"/>
          <w:smallCaps/>
          <w:lang w:val="en-CA"/>
        </w:rPr>
        <w:t>Bastien</w:t>
      </w:r>
      <w:proofErr w:type="spellEnd"/>
      <w:r w:rsidRPr="00D33340">
        <w:rPr>
          <w:rFonts w:ascii="Times New Roman" w:hAnsi="Times New Roman" w:cs="Times New Roman"/>
          <w:smallCaps/>
          <w:lang w:val="en-CA"/>
        </w:rPr>
        <w:t xml:space="preserve">, </w:t>
      </w:r>
      <w:r w:rsidR="00D6628D">
        <w:rPr>
          <w:rFonts w:ascii="Times New Roman" w:hAnsi="Times New Roman" w:cs="Times New Roman"/>
          <w:lang w:val="en-CA"/>
        </w:rPr>
        <w:t>2013, « The V</w:t>
      </w:r>
      <w:r w:rsidRPr="00D33340">
        <w:rPr>
          <w:rFonts w:ascii="Times New Roman" w:hAnsi="Times New Roman" w:cs="Times New Roman"/>
          <w:lang w:val="en-CA"/>
        </w:rPr>
        <w:t xml:space="preserve">oice of Quebec in the CETA Negotiations », </w:t>
      </w:r>
      <w:r w:rsidRPr="00D33340">
        <w:rPr>
          <w:rFonts w:ascii="Times New Roman" w:hAnsi="Times New Roman" w:cs="Times New Roman"/>
          <w:i/>
          <w:lang w:val="en-CA"/>
        </w:rPr>
        <w:t xml:space="preserve">International Journal, </w:t>
      </w:r>
      <w:r w:rsidRPr="00D33340">
        <w:rPr>
          <w:rFonts w:ascii="Times New Roman" w:hAnsi="Times New Roman" w:cs="Times New Roman"/>
          <w:lang w:val="en-CA"/>
        </w:rPr>
        <w:t>Vol. 68,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560-567.</w:t>
      </w:r>
    </w:p>
    <w:p w14:paraId="0FA75B89"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226F3FD5"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Kahale</w:t>
      </w:r>
      <w:proofErr w:type="spellEnd"/>
      <w:r w:rsidRPr="00D33340">
        <w:rPr>
          <w:rFonts w:ascii="Times New Roman" w:hAnsi="Times New Roman" w:cs="Times New Roman"/>
          <w:smallCaps/>
          <w:lang w:val="en-CA"/>
        </w:rPr>
        <w:t xml:space="preserve"> III </w:t>
      </w:r>
      <w:r w:rsidRPr="00D33340">
        <w:rPr>
          <w:rFonts w:ascii="Times New Roman" w:hAnsi="Times New Roman" w:cs="Times New Roman"/>
          <w:lang w:val="en-CA"/>
        </w:rPr>
        <w:t xml:space="preserve">George, 2012, « Is Investor-State Arbitration Broken? », </w:t>
      </w:r>
      <w:r w:rsidRPr="00D33340">
        <w:rPr>
          <w:rFonts w:ascii="Times New Roman" w:hAnsi="Times New Roman" w:cs="Times New Roman"/>
          <w:i/>
          <w:lang w:val="en-CA"/>
        </w:rPr>
        <w:t xml:space="preserve">Transnational Dispute Settlement, </w:t>
      </w:r>
      <w:r w:rsidRPr="00D33340">
        <w:rPr>
          <w:rFonts w:ascii="Times New Roman" w:hAnsi="Times New Roman" w:cs="Times New Roman"/>
          <w:lang w:val="en-CA"/>
        </w:rPr>
        <w:t>Vol. 9,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7</w:t>
      </w:r>
      <w:r w:rsidRPr="00D33340">
        <w:rPr>
          <w:rFonts w:ascii="Times New Roman" w:hAnsi="Times New Roman" w:cs="Times New Roman"/>
          <w:vertAlign w:val="superscript"/>
          <w:lang w:val="en-CA"/>
        </w:rPr>
        <w:t> </w:t>
      </w:r>
      <w:r w:rsidRPr="00D33340">
        <w:rPr>
          <w:rFonts w:ascii="Times New Roman" w:hAnsi="Times New Roman" w:cs="Times New Roman"/>
          <w:lang w:val="en-CA"/>
        </w:rPr>
        <w:t>:</w:t>
      </w:r>
      <w:proofErr w:type="gramEnd"/>
      <w:r w:rsidRPr="00D33340">
        <w:rPr>
          <w:rFonts w:ascii="Times New Roman" w:hAnsi="Times New Roman" w:cs="Times New Roman"/>
          <w:lang w:val="en-CA"/>
        </w:rPr>
        <w:t xml:space="preserve"> 1-36. </w:t>
      </w:r>
    </w:p>
    <w:p w14:paraId="20F09689"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48CBDC89"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Keck </w:t>
      </w:r>
      <w:r w:rsidRPr="00D33340">
        <w:rPr>
          <w:rFonts w:ascii="Times New Roman" w:hAnsi="Times New Roman" w:cs="Times New Roman"/>
          <w:lang w:val="en-CA"/>
        </w:rPr>
        <w:t xml:space="preserve">Margaret et Kathryn </w:t>
      </w:r>
      <w:proofErr w:type="spellStart"/>
      <w:r w:rsidRPr="00D33340">
        <w:rPr>
          <w:rFonts w:ascii="Times New Roman" w:hAnsi="Times New Roman" w:cs="Times New Roman"/>
          <w:smallCaps/>
          <w:lang w:val="en-CA"/>
        </w:rPr>
        <w:t>Sikkink</w:t>
      </w:r>
      <w:proofErr w:type="spellEnd"/>
      <w:r w:rsidRPr="00D33340">
        <w:rPr>
          <w:rFonts w:ascii="Times New Roman" w:hAnsi="Times New Roman" w:cs="Times New Roman"/>
          <w:smallCaps/>
          <w:lang w:val="en-CA"/>
        </w:rPr>
        <w:t xml:space="preserve">, 1999, « </w:t>
      </w:r>
      <w:r w:rsidRPr="00D33340">
        <w:rPr>
          <w:rFonts w:ascii="Times New Roman" w:hAnsi="Times New Roman" w:cs="Times New Roman"/>
          <w:lang w:val="en-CA"/>
        </w:rPr>
        <w:t xml:space="preserve">Transnational Advocacy Networks in International and Regional Politics », </w:t>
      </w:r>
      <w:r w:rsidRPr="00D33340">
        <w:rPr>
          <w:rFonts w:ascii="Times New Roman" w:hAnsi="Times New Roman" w:cs="Times New Roman"/>
          <w:i/>
          <w:lang w:val="en-CA"/>
        </w:rPr>
        <w:t>International Social Science Journal</w:t>
      </w:r>
      <w:r w:rsidRPr="00D33340">
        <w:rPr>
          <w:rFonts w:ascii="Times New Roman" w:hAnsi="Times New Roman" w:cs="Times New Roman"/>
          <w:lang w:val="en-CA"/>
        </w:rPr>
        <w:t>, Vol. 51,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159 :</w:t>
      </w:r>
      <w:proofErr w:type="gramEnd"/>
      <w:r w:rsidRPr="00D33340">
        <w:rPr>
          <w:rFonts w:ascii="Times New Roman" w:hAnsi="Times New Roman" w:cs="Times New Roman"/>
          <w:lang w:val="en-CA"/>
        </w:rPr>
        <w:t xml:space="preserve"> 89-101.</w:t>
      </w:r>
    </w:p>
    <w:p w14:paraId="4FD85AA5"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3A1A54D7"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Koremenos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Barbara, Charles </w:t>
      </w:r>
      <w:r w:rsidRPr="00D33340">
        <w:rPr>
          <w:rFonts w:ascii="Times New Roman" w:hAnsi="Times New Roman" w:cs="Times New Roman"/>
          <w:smallCaps/>
          <w:lang w:val="en-CA"/>
        </w:rPr>
        <w:t xml:space="preserve">Lipson </w:t>
      </w:r>
      <w:r w:rsidRPr="00D33340">
        <w:rPr>
          <w:rFonts w:ascii="Times New Roman" w:hAnsi="Times New Roman" w:cs="Times New Roman"/>
          <w:lang w:val="en-CA"/>
        </w:rPr>
        <w:t xml:space="preserve">et Duncan </w:t>
      </w:r>
      <w:proofErr w:type="spellStart"/>
      <w:r w:rsidRPr="00D33340">
        <w:rPr>
          <w:rFonts w:ascii="Times New Roman" w:hAnsi="Times New Roman" w:cs="Times New Roman"/>
          <w:smallCaps/>
          <w:lang w:val="en-CA"/>
        </w:rPr>
        <w:t>Snidal</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2001, « The Rational Design of International Institutions », </w:t>
      </w:r>
      <w:r w:rsidRPr="00D33340">
        <w:rPr>
          <w:rFonts w:ascii="Times New Roman" w:hAnsi="Times New Roman" w:cs="Times New Roman"/>
          <w:i/>
          <w:lang w:val="en-CA"/>
        </w:rPr>
        <w:t xml:space="preserve">International Organization, </w:t>
      </w:r>
      <w:r w:rsidRPr="00D33340">
        <w:rPr>
          <w:rFonts w:ascii="Times New Roman" w:hAnsi="Times New Roman" w:cs="Times New Roman"/>
          <w:lang w:val="en-CA"/>
        </w:rPr>
        <w:t>Vol. 55,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761-799.</w:t>
      </w:r>
    </w:p>
    <w:p w14:paraId="1F35A156"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677B22ED"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Krasner </w:t>
      </w:r>
      <w:r w:rsidRPr="00D33340">
        <w:rPr>
          <w:rFonts w:ascii="Times New Roman" w:hAnsi="Times New Roman" w:cs="Times New Roman"/>
          <w:lang w:val="en-CA"/>
        </w:rPr>
        <w:t xml:space="preserve">Stephen D., 1982, « Structural Causes and Regime Consequences: Regimes as Intervening Variables », </w:t>
      </w:r>
      <w:r w:rsidRPr="00D33340">
        <w:rPr>
          <w:rFonts w:ascii="Times New Roman" w:hAnsi="Times New Roman" w:cs="Times New Roman"/>
          <w:i/>
          <w:lang w:val="en-CA"/>
        </w:rPr>
        <w:t xml:space="preserve">International Organization, </w:t>
      </w:r>
      <w:r w:rsidRPr="00D33340">
        <w:rPr>
          <w:rFonts w:ascii="Times New Roman" w:hAnsi="Times New Roman" w:cs="Times New Roman"/>
          <w:lang w:val="en-CA"/>
        </w:rPr>
        <w:t>Vol. 36,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185-205.</w:t>
      </w:r>
    </w:p>
    <w:p w14:paraId="79F7D142"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3323D826"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Kriebaum</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Ursula, 2014, « FET and Expropriation in the (Invisible) EU Model BIT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454-483.</w:t>
      </w:r>
    </w:p>
    <w:p w14:paraId="0127F75C"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754937D2"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Lévesque </w:t>
      </w:r>
      <w:r w:rsidRPr="00D33340">
        <w:rPr>
          <w:rFonts w:ascii="Times New Roman" w:hAnsi="Times New Roman" w:cs="Times New Roman"/>
          <w:lang w:val="en-CA"/>
        </w:rPr>
        <w:t xml:space="preserve">Céline, 2013, « The Challenges of ‘Marrying’ Investment Liberalisation and Protection in the Canada-EU CETA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M. </w:t>
      </w:r>
      <w:proofErr w:type="spellStart"/>
      <w:r w:rsidRPr="00D33340">
        <w:rPr>
          <w:rFonts w:ascii="Times New Roman" w:hAnsi="Times New Roman" w:cs="Times New Roman"/>
          <w:smallCaps/>
          <w:lang w:val="en-CA"/>
        </w:rPr>
        <w:t>Bungenberg</w:t>
      </w:r>
      <w:proofErr w:type="spellEnd"/>
      <w:r w:rsidRPr="00D33340">
        <w:rPr>
          <w:rFonts w:ascii="Times New Roman" w:hAnsi="Times New Roman" w:cs="Times New Roman"/>
          <w:smallCaps/>
          <w:lang w:val="en-CA"/>
        </w:rPr>
        <w:t xml:space="preserve">, A. </w:t>
      </w:r>
      <w:proofErr w:type="spellStart"/>
      <w:r w:rsidRPr="00D33340">
        <w:rPr>
          <w:rFonts w:ascii="Times New Roman" w:hAnsi="Times New Roman" w:cs="Times New Roman"/>
          <w:smallCaps/>
          <w:lang w:val="en-CA"/>
        </w:rPr>
        <w:t>Reinisch</w:t>
      </w:r>
      <w:proofErr w:type="spellEnd"/>
      <w:r w:rsidRPr="00D33340">
        <w:rPr>
          <w:rFonts w:ascii="Times New Roman" w:hAnsi="Times New Roman" w:cs="Times New Roman"/>
          <w:smallCaps/>
          <w:lang w:val="en-CA"/>
        </w:rPr>
        <w:t xml:space="preserve">, C. </w:t>
      </w:r>
      <w:proofErr w:type="spellStart"/>
      <w:r w:rsidRPr="00D33340">
        <w:rPr>
          <w:rFonts w:ascii="Times New Roman" w:hAnsi="Times New Roman" w:cs="Times New Roman"/>
          <w:smallCaps/>
          <w:lang w:val="en-CA"/>
        </w:rPr>
        <w:t>Tietje</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dir.), </w:t>
      </w:r>
      <w:r w:rsidRPr="00D33340">
        <w:rPr>
          <w:rFonts w:ascii="Times New Roman" w:hAnsi="Times New Roman" w:cs="Times New Roman"/>
          <w:i/>
          <w:lang w:val="en-CA"/>
        </w:rPr>
        <w:t>EU and Investment Agreements: Open Questions and Remaining Challenges</w:t>
      </w:r>
      <w:r w:rsidRPr="00D33340">
        <w:rPr>
          <w:rFonts w:ascii="Times New Roman" w:hAnsi="Times New Roman" w:cs="Times New Roman"/>
          <w:lang w:val="en-CA"/>
        </w:rPr>
        <w:t xml:space="preserve">, Baden-Baden, </w:t>
      </w:r>
      <w:proofErr w:type="spellStart"/>
      <w:proofErr w:type="gramStart"/>
      <w:r w:rsidRPr="00D33340">
        <w:rPr>
          <w:rFonts w:ascii="Times New Roman" w:hAnsi="Times New Roman" w:cs="Times New Roman"/>
          <w:lang w:val="en-CA"/>
        </w:rPr>
        <w:t>Nomos</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121-146.</w:t>
      </w:r>
    </w:p>
    <w:p w14:paraId="14EF645C"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3EE9E02F" w14:textId="0EA92B83" w:rsidR="00D33340" w:rsidRDefault="00D33340" w:rsidP="00D33340">
      <w:pPr>
        <w:pStyle w:val="Listepuces"/>
        <w:numPr>
          <w:ilvl w:val="0"/>
          <w:numId w:val="0"/>
        </w:numPr>
        <w:ind w:left="357" w:hanging="357"/>
        <w:jc w:val="both"/>
        <w:rPr>
          <w:rFonts w:ascii="Times New Roman" w:hAnsi="Times New Roman" w:cs="Times New Roman"/>
        </w:rPr>
      </w:pPr>
      <w:r>
        <w:rPr>
          <w:rFonts w:ascii="Times New Roman" w:hAnsi="Times New Roman" w:cs="Times New Roman"/>
          <w:smallCaps/>
        </w:rPr>
        <w:t xml:space="preserve">Lévesque </w:t>
      </w:r>
      <w:r>
        <w:rPr>
          <w:rFonts w:ascii="Times New Roman" w:hAnsi="Times New Roman" w:cs="Times New Roman"/>
        </w:rPr>
        <w:t>Céline, 2015, « Les négociations transatlantiques sur l’investissement : un travail d’équilibriste, illustré par la norme de traitement</w:t>
      </w:r>
      <w:r w:rsidR="00D6628D">
        <w:rPr>
          <w:rFonts w:ascii="Times New Roman" w:hAnsi="Times New Roman" w:cs="Times New Roman"/>
        </w:rPr>
        <w:t xml:space="preserve"> juste et équitable », dans</w:t>
      </w:r>
      <w:r>
        <w:rPr>
          <w:rFonts w:ascii="Times New Roman" w:hAnsi="Times New Roman" w:cs="Times New Roman"/>
        </w:rPr>
        <w:t xml:space="preserve"> </w:t>
      </w:r>
      <w:r>
        <w:rPr>
          <w:rFonts w:ascii="Times New Roman" w:hAnsi="Times New Roman" w:cs="Times New Roman"/>
          <w:smallCaps/>
        </w:rPr>
        <w:t xml:space="preserve">C. </w:t>
      </w:r>
      <w:proofErr w:type="spellStart"/>
      <w:r>
        <w:rPr>
          <w:rFonts w:ascii="Times New Roman" w:hAnsi="Times New Roman" w:cs="Times New Roman"/>
          <w:smallCaps/>
        </w:rPr>
        <w:t>Deblock</w:t>
      </w:r>
      <w:proofErr w:type="spellEnd"/>
      <w:r>
        <w:rPr>
          <w:rFonts w:ascii="Times New Roman" w:hAnsi="Times New Roman" w:cs="Times New Roman"/>
          <w:smallCaps/>
        </w:rPr>
        <w:t xml:space="preserve">, J. </w:t>
      </w:r>
      <w:proofErr w:type="spellStart"/>
      <w:r>
        <w:rPr>
          <w:rFonts w:ascii="Times New Roman" w:hAnsi="Times New Roman" w:cs="Times New Roman"/>
          <w:smallCaps/>
        </w:rPr>
        <w:lastRenderedPageBreak/>
        <w:t>Lebullenger</w:t>
      </w:r>
      <w:proofErr w:type="spellEnd"/>
      <w:r>
        <w:rPr>
          <w:rFonts w:ascii="Times New Roman" w:hAnsi="Times New Roman" w:cs="Times New Roman"/>
          <w:smallCaps/>
        </w:rPr>
        <w:t>, S. Paquin (</w:t>
      </w:r>
      <w:r>
        <w:rPr>
          <w:rFonts w:ascii="Times New Roman" w:hAnsi="Times New Roman" w:cs="Times New Roman"/>
        </w:rPr>
        <w:t xml:space="preserve">éd.), </w:t>
      </w:r>
      <w:r>
        <w:rPr>
          <w:rFonts w:ascii="Times New Roman" w:hAnsi="Times New Roman" w:cs="Times New Roman"/>
          <w:i/>
        </w:rPr>
        <w:t xml:space="preserve">Un nouveau pont sur l’Atlantique, </w:t>
      </w:r>
      <w:r>
        <w:rPr>
          <w:rFonts w:ascii="Times New Roman" w:hAnsi="Times New Roman" w:cs="Times New Roman"/>
        </w:rPr>
        <w:t>Québec, Presses de l’Université du Québec : 169-180.</w:t>
      </w:r>
    </w:p>
    <w:p w14:paraId="2D4A3ED8" w14:textId="77777777" w:rsidR="00D33340" w:rsidRPr="009A618D" w:rsidRDefault="00D33340" w:rsidP="00D33340">
      <w:pPr>
        <w:pStyle w:val="Listepuces"/>
        <w:numPr>
          <w:ilvl w:val="0"/>
          <w:numId w:val="0"/>
        </w:numPr>
        <w:ind w:left="360" w:hanging="360"/>
        <w:jc w:val="both"/>
        <w:rPr>
          <w:rFonts w:ascii="Times New Roman" w:hAnsi="Times New Roman" w:cs="Times New Roman"/>
          <w:sz w:val="10"/>
        </w:rPr>
      </w:pPr>
    </w:p>
    <w:p w14:paraId="1459C128"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Lévesque </w:t>
      </w:r>
      <w:r w:rsidRPr="00D33340">
        <w:rPr>
          <w:rFonts w:ascii="Times New Roman" w:hAnsi="Times New Roman" w:cs="Times New Roman"/>
          <w:lang w:val="en-CA"/>
        </w:rPr>
        <w:t xml:space="preserve">Céline et Andrew </w:t>
      </w:r>
      <w:proofErr w:type="spellStart"/>
      <w:r w:rsidRPr="00D33340">
        <w:rPr>
          <w:rFonts w:ascii="Times New Roman" w:hAnsi="Times New Roman" w:cs="Times New Roman"/>
          <w:smallCaps/>
          <w:lang w:val="en-CA"/>
        </w:rPr>
        <w:t>Newcombe</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2013, « The Evolution of IIA Practice in Canada and the United States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A. </w:t>
      </w:r>
      <w:r w:rsidRPr="00D33340">
        <w:rPr>
          <w:rFonts w:ascii="Times New Roman" w:hAnsi="Times New Roman" w:cs="Times New Roman"/>
          <w:smallCaps/>
          <w:lang w:val="en-CA"/>
        </w:rPr>
        <w:t xml:space="preserve">De </w:t>
      </w:r>
      <w:proofErr w:type="spellStart"/>
      <w:r w:rsidRPr="00D33340">
        <w:rPr>
          <w:rFonts w:ascii="Times New Roman" w:hAnsi="Times New Roman" w:cs="Times New Roman"/>
          <w:smallCaps/>
          <w:lang w:val="en-CA"/>
        </w:rPr>
        <w:t>Mestral</w:t>
      </w:r>
      <w:proofErr w:type="spellEnd"/>
      <w:r w:rsidRPr="00D33340">
        <w:rPr>
          <w:rFonts w:ascii="Times New Roman" w:hAnsi="Times New Roman" w:cs="Times New Roman"/>
          <w:smallCaps/>
          <w:lang w:val="en-CA"/>
        </w:rPr>
        <w:t xml:space="preserve">, C. Lévesque </w:t>
      </w:r>
      <w:r w:rsidRPr="00D33340">
        <w:rPr>
          <w:rFonts w:ascii="Times New Roman" w:hAnsi="Times New Roman" w:cs="Times New Roman"/>
          <w:lang w:val="en-CA"/>
        </w:rPr>
        <w:t xml:space="preserve">(dir.), </w:t>
      </w:r>
      <w:r w:rsidRPr="00D33340">
        <w:rPr>
          <w:rFonts w:ascii="Times New Roman" w:hAnsi="Times New Roman" w:cs="Times New Roman"/>
          <w:i/>
          <w:lang w:val="en-CA"/>
        </w:rPr>
        <w:t xml:space="preserve">Improving International Investment Agreements, </w:t>
      </w:r>
      <w:r w:rsidRPr="00D33340">
        <w:rPr>
          <w:rFonts w:ascii="Times New Roman" w:hAnsi="Times New Roman" w:cs="Times New Roman"/>
          <w:lang w:val="en-CA"/>
        </w:rPr>
        <w:t xml:space="preserve">New-York, </w:t>
      </w:r>
      <w:proofErr w:type="spellStart"/>
      <w:proofErr w:type="gramStart"/>
      <w:r w:rsidRPr="00D33340">
        <w:rPr>
          <w:rFonts w:ascii="Times New Roman" w:hAnsi="Times New Roman" w:cs="Times New Roman"/>
          <w:lang w:val="en-CA"/>
        </w:rPr>
        <w:t>Routledge</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25-41.</w:t>
      </w:r>
    </w:p>
    <w:p w14:paraId="5253E975"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783003BE"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Meseguer</w:t>
      </w:r>
      <w:proofErr w:type="spellEnd"/>
      <w:r w:rsidRPr="00D33340">
        <w:rPr>
          <w:rFonts w:ascii="Times New Roman" w:hAnsi="Times New Roman" w:cs="Times New Roman"/>
          <w:smallCaps/>
          <w:lang w:val="en-CA"/>
        </w:rPr>
        <w:t xml:space="preserve"> </w:t>
      </w:r>
      <w:proofErr w:type="spellStart"/>
      <w:r w:rsidRPr="00D33340">
        <w:rPr>
          <w:rFonts w:ascii="Times New Roman" w:hAnsi="Times New Roman" w:cs="Times New Roman"/>
          <w:lang w:val="en-CA"/>
        </w:rPr>
        <w:t>Covadonga</w:t>
      </w:r>
      <w:proofErr w:type="spellEnd"/>
      <w:r w:rsidRPr="00D33340">
        <w:rPr>
          <w:rFonts w:ascii="Times New Roman" w:hAnsi="Times New Roman" w:cs="Times New Roman"/>
          <w:lang w:val="en-CA"/>
        </w:rPr>
        <w:t xml:space="preserve">, 2006, « Rational Learning and Bounded Learning in the Diffusion of Policy Innovations », </w:t>
      </w:r>
      <w:r w:rsidRPr="00D33340">
        <w:rPr>
          <w:rFonts w:ascii="Times New Roman" w:hAnsi="Times New Roman" w:cs="Times New Roman"/>
          <w:i/>
          <w:lang w:val="en-CA"/>
        </w:rPr>
        <w:t xml:space="preserve">Rationality and Society, </w:t>
      </w:r>
      <w:r w:rsidRPr="00D33340">
        <w:rPr>
          <w:rFonts w:ascii="Times New Roman" w:hAnsi="Times New Roman" w:cs="Times New Roman"/>
          <w:lang w:val="en-CA"/>
        </w:rPr>
        <w:t>Vol. 18,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35-66.</w:t>
      </w:r>
    </w:p>
    <w:p w14:paraId="650C92D9"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2E6A6E5E"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Meunier</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Sophie et Jean-</w:t>
      </w:r>
      <w:proofErr w:type="spellStart"/>
      <w:r w:rsidRPr="00D33340">
        <w:rPr>
          <w:rFonts w:ascii="Times New Roman" w:hAnsi="Times New Roman" w:cs="Times New Roman"/>
          <w:lang w:val="en-CA"/>
        </w:rPr>
        <w:t>Frédéric</w:t>
      </w:r>
      <w:proofErr w:type="spellEnd"/>
      <w:r w:rsidRPr="00D33340">
        <w:rPr>
          <w:rFonts w:ascii="Times New Roman" w:hAnsi="Times New Roman" w:cs="Times New Roman"/>
          <w:lang w:val="en-CA"/>
        </w:rPr>
        <w:t xml:space="preserve"> </w:t>
      </w:r>
      <w:r w:rsidRPr="00D33340">
        <w:rPr>
          <w:rFonts w:ascii="Times New Roman" w:hAnsi="Times New Roman" w:cs="Times New Roman"/>
          <w:smallCaps/>
          <w:lang w:val="en-CA"/>
        </w:rPr>
        <w:t xml:space="preserve">Morin, </w:t>
      </w:r>
      <w:r w:rsidRPr="00D33340">
        <w:rPr>
          <w:rFonts w:ascii="Times New Roman" w:hAnsi="Times New Roman" w:cs="Times New Roman"/>
          <w:lang w:val="en-CA"/>
        </w:rPr>
        <w:t xml:space="preserve">2015,  « No Agreement is an Island: Negotiating TTIP in a Dense Regime Complex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J</w:t>
      </w:r>
      <w:proofErr w:type="gramStart"/>
      <w:r w:rsidRPr="00D33340">
        <w:rPr>
          <w:rFonts w:ascii="Times New Roman" w:hAnsi="Times New Roman" w:cs="Times New Roman"/>
          <w:lang w:val="en-CA"/>
        </w:rPr>
        <w:t>.-</w:t>
      </w:r>
      <w:proofErr w:type="gramEnd"/>
      <w:r w:rsidRPr="00D33340">
        <w:rPr>
          <w:rFonts w:ascii="Times New Roman" w:hAnsi="Times New Roman" w:cs="Times New Roman"/>
          <w:lang w:val="en-CA"/>
        </w:rPr>
        <w:t xml:space="preserve">F. </w:t>
      </w:r>
      <w:r w:rsidRPr="00D33340">
        <w:rPr>
          <w:rFonts w:ascii="Times New Roman" w:hAnsi="Times New Roman" w:cs="Times New Roman"/>
          <w:smallCaps/>
          <w:lang w:val="en-CA"/>
        </w:rPr>
        <w:t xml:space="preserve">Morin, </w:t>
      </w:r>
      <w:r w:rsidRPr="00D33340">
        <w:rPr>
          <w:rFonts w:ascii="Times New Roman" w:hAnsi="Times New Roman" w:cs="Times New Roman"/>
          <w:lang w:val="en-CA"/>
        </w:rPr>
        <w:t xml:space="preserve">T. </w:t>
      </w:r>
      <w:proofErr w:type="spellStart"/>
      <w:r w:rsidRPr="00D33340">
        <w:rPr>
          <w:rFonts w:ascii="Times New Roman" w:hAnsi="Times New Roman" w:cs="Times New Roman"/>
          <w:smallCaps/>
          <w:lang w:val="en-CA"/>
        </w:rPr>
        <w:t>Novotná</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F. </w:t>
      </w:r>
      <w:proofErr w:type="spellStart"/>
      <w:r w:rsidRPr="00D33340">
        <w:rPr>
          <w:rFonts w:ascii="Times New Roman" w:hAnsi="Times New Roman" w:cs="Times New Roman"/>
          <w:smallCaps/>
          <w:lang w:val="en-CA"/>
        </w:rPr>
        <w:t>Ponjaert</w:t>
      </w:r>
      <w:proofErr w:type="spellEnd"/>
      <w:r w:rsidRPr="00D33340">
        <w:rPr>
          <w:rFonts w:ascii="Times New Roman" w:hAnsi="Times New Roman" w:cs="Times New Roman"/>
          <w:smallCaps/>
          <w:lang w:val="en-CA"/>
        </w:rPr>
        <w:t xml:space="preserve">, M. </w:t>
      </w:r>
      <w:proofErr w:type="spellStart"/>
      <w:r w:rsidRPr="00D33340">
        <w:rPr>
          <w:rFonts w:ascii="Times New Roman" w:hAnsi="Times New Roman" w:cs="Times New Roman"/>
          <w:smallCaps/>
          <w:lang w:val="en-CA"/>
        </w:rPr>
        <w:t>Telò</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(dir.), </w:t>
      </w:r>
      <w:r w:rsidRPr="00D33340">
        <w:rPr>
          <w:rFonts w:ascii="Times New Roman" w:hAnsi="Times New Roman" w:cs="Times New Roman"/>
          <w:i/>
          <w:lang w:val="en-CA"/>
        </w:rPr>
        <w:t>The Politics of Transatlantic Trade Negotiations: TTIP in a Globalized World</w:t>
      </w:r>
      <w:r w:rsidRPr="00D33340">
        <w:rPr>
          <w:rFonts w:ascii="Times New Roman" w:hAnsi="Times New Roman" w:cs="Times New Roman"/>
          <w:lang w:val="en-CA"/>
        </w:rPr>
        <w:t xml:space="preserve">, Burlington, </w:t>
      </w:r>
      <w:proofErr w:type="spellStart"/>
      <w:r w:rsidRPr="00D33340">
        <w:rPr>
          <w:rFonts w:ascii="Times New Roman" w:hAnsi="Times New Roman" w:cs="Times New Roman"/>
          <w:lang w:val="en-CA"/>
        </w:rPr>
        <w:t>Ashgate</w:t>
      </w:r>
      <w:proofErr w:type="spellEnd"/>
      <w:r w:rsidRPr="00D33340">
        <w:rPr>
          <w:rFonts w:ascii="Times New Roman" w:hAnsi="Times New Roman" w:cs="Times New Roman"/>
          <w:lang w:val="en-CA"/>
        </w:rPr>
        <w:t>.</w:t>
      </w:r>
    </w:p>
    <w:p w14:paraId="4418D654"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7E3279D"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Morin </w:t>
      </w:r>
      <w:r w:rsidRPr="00D33340">
        <w:rPr>
          <w:rFonts w:ascii="Times New Roman" w:hAnsi="Times New Roman" w:cs="Times New Roman"/>
          <w:lang w:val="en-CA"/>
        </w:rPr>
        <w:t>Jean-</w:t>
      </w:r>
      <w:proofErr w:type="spellStart"/>
      <w:r w:rsidRPr="00D33340">
        <w:rPr>
          <w:rFonts w:ascii="Times New Roman" w:hAnsi="Times New Roman" w:cs="Times New Roman"/>
          <w:lang w:val="en-CA"/>
        </w:rPr>
        <w:t>Frédéric</w:t>
      </w:r>
      <w:proofErr w:type="spellEnd"/>
      <w:r w:rsidRPr="00D33340">
        <w:rPr>
          <w:rFonts w:ascii="Times New Roman" w:hAnsi="Times New Roman" w:cs="Times New Roman"/>
          <w:lang w:val="en-CA"/>
        </w:rPr>
        <w:t xml:space="preserve"> et Amandine </w:t>
      </w:r>
      <w:proofErr w:type="spellStart"/>
      <w:r w:rsidRPr="00D33340">
        <w:rPr>
          <w:rFonts w:ascii="Times New Roman" w:hAnsi="Times New Roman" w:cs="Times New Roman"/>
          <w:smallCaps/>
          <w:lang w:val="en-CA"/>
        </w:rPr>
        <w:t>Orsini</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2013, « Regime Complexity and Policy Coherency: Introducing a Co-adjustments Model », </w:t>
      </w:r>
      <w:r w:rsidRPr="00D33340">
        <w:rPr>
          <w:rFonts w:ascii="Times New Roman" w:hAnsi="Times New Roman" w:cs="Times New Roman"/>
          <w:i/>
          <w:lang w:val="en-CA"/>
        </w:rPr>
        <w:t xml:space="preserve">Global Governance, </w:t>
      </w:r>
      <w:r w:rsidRPr="00D33340">
        <w:rPr>
          <w:rFonts w:ascii="Times New Roman" w:hAnsi="Times New Roman" w:cs="Times New Roman"/>
          <w:lang w:val="en-CA"/>
        </w:rPr>
        <w:t>Vol. 19,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41-51.</w:t>
      </w:r>
    </w:p>
    <w:p w14:paraId="3073765F"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5890E72A"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Nelson </w:t>
      </w:r>
      <w:r w:rsidRPr="00D33340">
        <w:rPr>
          <w:rFonts w:ascii="Times New Roman" w:hAnsi="Times New Roman" w:cs="Times New Roman"/>
          <w:lang w:val="en-CA"/>
        </w:rPr>
        <w:t xml:space="preserve">Timothy G., </w:t>
      </w:r>
      <w:r w:rsidRPr="00D33340">
        <w:rPr>
          <w:rFonts w:ascii="Times New Roman" w:hAnsi="Times New Roman" w:cs="Times New Roman"/>
          <w:smallCaps/>
          <w:lang w:val="en-CA"/>
        </w:rPr>
        <w:t xml:space="preserve">2012, « </w:t>
      </w:r>
      <w:r w:rsidRPr="00D33340">
        <w:rPr>
          <w:rFonts w:ascii="Times New Roman" w:hAnsi="Times New Roman" w:cs="Times New Roman"/>
          <w:lang w:val="en-CA"/>
        </w:rPr>
        <w:t xml:space="preserve">Going Dutch - the Many Virtues of the Netherlands Model BIT », </w:t>
      </w:r>
      <w:r w:rsidRPr="00D33340">
        <w:rPr>
          <w:rFonts w:ascii="Times New Roman" w:hAnsi="Times New Roman" w:cs="Times New Roman"/>
          <w:i/>
          <w:lang w:val="en-CA"/>
        </w:rPr>
        <w:t xml:space="preserve">Dispute Resolution International, </w:t>
      </w:r>
      <w:r w:rsidRPr="00D33340">
        <w:rPr>
          <w:rFonts w:ascii="Times New Roman" w:hAnsi="Times New Roman" w:cs="Times New Roman"/>
          <w:lang w:val="en-CA"/>
        </w:rPr>
        <w:t>Vol. 6,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161-182.</w:t>
      </w:r>
    </w:p>
    <w:p w14:paraId="4A010921" w14:textId="77777777" w:rsidR="00D33340" w:rsidRPr="00D33340" w:rsidRDefault="00D33340" w:rsidP="00D33340">
      <w:pPr>
        <w:pStyle w:val="Listepuces"/>
        <w:numPr>
          <w:ilvl w:val="0"/>
          <w:numId w:val="0"/>
        </w:numPr>
        <w:jc w:val="both"/>
        <w:rPr>
          <w:rFonts w:ascii="Times New Roman" w:hAnsi="Times New Roman" w:cs="Times New Roman"/>
          <w:sz w:val="10"/>
          <w:lang w:val="en-CA"/>
        </w:rPr>
      </w:pPr>
    </w:p>
    <w:p w14:paraId="24C80CC8"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Newcombe</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Andrew et </w:t>
      </w:r>
      <w:proofErr w:type="spellStart"/>
      <w:r w:rsidRPr="00D33340">
        <w:rPr>
          <w:rFonts w:ascii="Times New Roman" w:hAnsi="Times New Roman" w:cs="Times New Roman"/>
          <w:lang w:val="en-CA"/>
        </w:rPr>
        <w:t>Lluís</w:t>
      </w:r>
      <w:proofErr w:type="spellEnd"/>
      <w:r w:rsidRPr="00D33340">
        <w:rPr>
          <w:rFonts w:ascii="Times New Roman" w:hAnsi="Times New Roman" w:cs="Times New Roman"/>
          <w:lang w:val="en-CA"/>
        </w:rPr>
        <w:t xml:space="preserve"> </w:t>
      </w:r>
      <w:proofErr w:type="spellStart"/>
      <w:r w:rsidRPr="00D33340">
        <w:rPr>
          <w:rFonts w:ascii="Times New Roman" w:hAnsi="Times New Roman" w:cs="Times New Roman"/>
          <w:smallCaps/>
          <w:lang w:val="en-CA"/>
        </w:rPr>
        <w:t>Paradell</w:t>
      </w:r>
      <w:proofErr w:type="spellEnd"/>
      <w:r w:rsidRPr="00D33340">
        <w:rPr>
          <w:rFonts w:ascii="Times New Roman" w:hAnsi="Times New Roman" w:cs="Times New Roman"/>
          <w:lang w:val="en-CA"/>
        </w:rPr>
        <w:t xml:space="preserve">, 2009, </w:t>
      </w:r>
      <w:r w:rsidRPr="00D33340">
        <w:rPr>
          <w:rFonts w:ascii="Times New Roman" w:hAnsi="Times New Roman" w:cs="Times New Roman"/>
          <w:i/>
          <w:lang w:val="en-CA"/>
        </w:rPr>
        <w:t xml:space="preserve">Law and practice of investment </w:t>
      </w:r>
      <w:proofErr w:type="gramStart"/>
      <w:r w:rsidRPr="00D33340">
        <w:rPr>
          <w:rFonts w:ascii="Times New Roman" w:hAnsi="Times New Roman" w:cs="Times New Roman"/>
          <w:i/>
          <w:lang w:val="en-CA"/>
        </w:rPr>
        <w:t>treaties :</w:t>
      </w:r>
      <w:proofErr w:type="gramEnd"/>
      <w:r w:rsidRPr="00D33340">
        <w:rPr>
          <w:rFonts w:ascii="Times New Roman" w:hAnsi="Times New Roman" w:cs="Times New Roman"/>
          <w:i/>
          <w:lang w:val="en-CA"/>
        </w:rPr>
        <w:t xml:space="preserve"> standards of treatment</w:t>
      </w:r>
      <w:r w:rsidRPr="00D33340">
        <w:rPr>
          <w:rFonts w:ascii="Times New Roman" w:hAnsi="Times New Roman" w:cs="Times New Roman"/>
          <w:lang w:val="en-CA"/>
        </w:rPr>
        <w:t xml:space="preserve">, Austin, </w:t>
      </w:r>
      <w:proofErr w:type="spellStart"/>
      <w:r w:rsidRPr="00D33340">
        <w:rPr>
          <w:rFonts w:ascii="Times New Roman" w:hAnsi="Times New Roman" w:cs="Times New Roman"/>
          <w:lang w:val="en-CA"/>
        </w:rPr>
        <w:t>Wolters</w:t>
      </w:r>
      <w:proofErr w:type="spellEnd"/>
      <w:r w:rsidRPr="00D33340">
        <w:rPr>
          <w:rFonts w:ascii="Times New Roman" w:hAnsi="Times New Roman" w:cs="Times New Roman"/>
          <w:lang w:val="en-CA"/>
        </w:rPr>
        <w:t xml:space="preserve"> Kluwer Law &amp; Business.</w:t>
      </w:r>
    </w:p>
    <w:p w14:paraId="299F2DAC"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5AA7F13B"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Newcombe</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Andrew, 2013, « Developments in IIA Treaty-making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A. </w:t>
      </w:r>
      <w:r w:rsidRPr="00D33340">
        <w:rPr>
          <w:rFonts w:ascii="Times New Roman" w:hAnsi="Times New Roman" w:cs="Times New Roman"/>
          <w:smallCaps/>
          <w:lang w:val="en-CA"/>
        </w:rPr>
        <w:t xml:space="preserve">De </w:t>
      </w:r>
      <w:proofErr w:type="spellStart"/>
      <w:r w:rsidRPr="00D33340">
        <w:rPr>
          <w:rFonts w:ascii="Times New Roman" w:hAnsi="Times New Roman" w:cs="Times New Roman"/>
          <w:smallCaps/>
          <w:lang w:val="en-CA"/>
        </w:rPr>
        <w:t>Mestral</w:t>
      </w:r>
      <w:proofErr w:type="spellEnd"/>
      <w:r w:rsidRPr="00D33340">
        <w:rPr>
          <w:rFonts w:ascii="Times New Roman" w:hAnsi="Times New Roman" w:cs="Times New Roman"/>
          <w:smallCaps/>
          <w:lang w:val="en-CA"/>
        </w:rPr>
        <w:t xml:space="preserve">, C. Lévesque </w:t>
      </w:r>
      <w:r w:rsidRPr="00D33340">
        <w:rPr>
          <w:rFonts w:ascii="Times New Roman" w:hAnsi="Times New Roman" w:cs="Times New Roman"/>
          <w:lang w:val="en-CA"/>
        </w:rPr>
        <w:t xml:space="preserve">(dir.), </w:t>
      </w:r>
      <w:r w:rsidRPr="00D33340">
        <w:rPr>
          <w:rFonts w:ascii="Times New Roman" w:hAnsi="Times New Roman" w:cs="Times New Roman"/>
          <w:i/>
          <w:lang w:val="en-CA"/>
        </w:rPr>
        <w:t xml:space="preserve">Improving International Investment Agreements, </w:t>
      </w:r>
      <w:r w:rsidRPr="00D33340">
        <w:rPr>
          <w:rFonts w:ascii="Times New Roman" w:hAnsi="Times New Roman" w:cs="Times New Roman"/>
          <w:lang w:val="en-CA"/>
        </w:rPr>
        <w:t xml:space="preserve">New-York, </w:t>
      </w:r>
      <w:proofErr w:type="spellStart"/>
      <w:proofErr w:type="gramStart"/>
      <w:r w:rsidRPr="00D33340">
        <w:rPr>
          <w:rFonts w:ascii="Times New Roman" w:hAnsi="Times New Roman" w:cs="Times New Roman"/>
          <w:lang w:val="en-CA"/>
        </w:rPr>
        <w:t>Routledge</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15-24. </w:t>
      </w:r>
    </w:p>
    <w:p w14:paraId="77DE44CA"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326380A3" w14:textId="2E9D9156" w:rsidR="00B04F23" w:rsidRDefault="00B04F23" w:rsidP="00D33340">
      <w:pPr>
        <w:pStyle w:val="Listepuces"/>
        <w:numPr>
          <w:ilvl w:val="0"/>
          <w:numId w:val="0"/>
        </w:numPr>
        <w:ind w:left="360" w:hanging="360"/>
        <w:jc w:val="both"/>
        <w:rPr>
          <w:rFonts w:ascii="Times New Roman" w:hAnsi="Times New Roman" w:cs="Times New Roman"/>
          <w:lang w:val="en-CA"/>
        </w:rPr>
      </w:pPr>
      <w:proofErr w:type="spellStart"/>
      <w:r>
        <w:rPr>
          <w:rFonts w:ascii="Times New Roman" w:hAnsi="Times New Roman" w:cs="Times New Roman"/>
          <w:smallCaps/>
          <w:lang w:val="en-CA"/>
        </w:rPr>
        <w:t>Nikièma</w:t>
      </w:r>
      <w:proofErr w:type="spellEnd"/>
      <w:r>
        <w:rPr>
          <w:rFonts w:ascii="Times New Roman" w:hAnsi="Times New Roman" w:cs="Times New Roman"/>
          <w:smallCaps/>
          <w:lang w:val="en-CA"/>
        </w:rPr>
        <w:t xml:space="preserve"> </w:t>
      </w:r>
      <w:r>
        <w:rPr>
          <w:rFonts w:ascii="Times New Roman" w:hAnsi="Times New Roman" w:cs="Times New Roman"/>
          <w:lang w:val="en-CA"/>
        </w:rPr>
        <w:t xml:space="preserve">Suzy H., 2012, </w:t>
      </w:r>
      <w:proofErr w:type="spellStart"/>
      <w:r>
        <w:rPr>
          <w:rFonts w:ascii="Times New Roman" w:hAnsi="Times New Roman" w:cs="Times New Roman"/>
          <w:i/>
          <w:lang w:val="en-CA"/>
        </w:rPr>
        <w:t>L’expropriation</w:t>
      </w:r>
      <w:proofErr w:type="spellEnd"/>
      <w:r>
        <w:rPr>
          <w:rFonts w:ascii="Times New Roman" w:hAnsi="Times New Roman" w:cs="Times New Roman"/>
          <w:i/>
          <w:lang w:val="en-CA"/>
        </w:rPr>
        <w:t xml:space="preserve"> </w:t>
      </w:r>
      <w:proofErr w:type="spellStart"/>
      <w:r>
        <w:rPr>
          <w:rFonts w:ascii="Times New Roman" w:hAnsi="Times New Roman" w:cs="Times New Roman"/>
          <w:i/>
          <w:lang w:val="en-CA"/>
        </w:rPr>
        <w:t>indirecte</w:t>
      </w:r>
      <w:proofErr w:type="spellEnd"/>
      <w:r>
        <w:rPr>
          <w:rFonts w:ascii="Times New Roman" w:hAnsi="Times New Roman" w:cs="Times New Roman"/>
          <w:i/>
          <w:lang w:val="en-CA"/>
        </w:rPr>
        <w:t xml:space="preserve"> en </w:t>
      </w:r>
      <w:proofErr w:type="spellStart"/>
      <w:r>
        <w:rPr>
          <w:rFonts w:ascii="Times New Roman" w:hAnsi="Times New Roman" w:cs="Times New Roman"/>
          <w:i/>
          <w:lang w:val="en-CA"/>
        </w:rPr>
        <w:t>droit</w:t>
      </w:r>
      <w:proofErr w:type="spellEnd"/>
      <w:r>
        <w:rPr>
          <w:rFonts w:ascii="Times New Roman" w:hAnsi="Times New Roman" w:cs="Times New Roman"/>
          <w:i/>
          <w:lang w:val="en-CA"/>
        </w:rPr>
        <w:t xml:space="preserve"> international des </w:t>
      </w:r>
      <w:proofErr w:type="spellStart"/>
      <w:r>
        <w:rPr>
          <w:rFonts w:ascii="Times New Roman" w:hAnsi="Times New Roman" w:cs="Times New Roman"/>
          <w:i/>
          <w:lang w:val="en-CA"/>
        </w:rPr>
        <w:t>investissements</w:t>
      </w:r>
      <w:proofErr w:type="spellEnd"/>
      <w:r>
        <w:rPr>
          <w:rFonts w:ascii="Times New Roman" w:hAnsi="Times New Roman" w:cs="Times New Roman"/>
          <w:i/>
          <w:lang w:val="en-CA"/>
        </w:rPr>
        <w:t xml:space="preserve">, </w:t>
      </w:r>
      <w:r>
        <w:rPr>
          <w:rFonts w:ascii="Times New Roman" w:hAnsi="Times New Roman" w:cs="Times New Roman"/>
          <w:lang w:val="en-CA"/>
        </w:rPr>
        <w:t xml:space="preserve">Genève, The </w:t>
      </w:r>
      <w:proofErr w:type="spellStart"/>
      <w:r>
        <w:rPr>
          <w:rFonts w:ascii="Times New Roman" w:hAnsi="Times New Roman" w:cs="Times New Roman"/>
          <w:lang w:val="en-CA"/>
        </w:rPr>
        <w:t>Gradudate</w:t>
      </w:r>
      <w:proofErr w:type="spellEnd"/>
      <w:r>
        <w:rPr>
          <w:rFonts w:ascii="Times New Roman" w:hAnsi="Times New Roman" w:cs="Times New Roman"/>
          <w:lang w:val="en-CA"/>
        </w:rPr>
        <w:t xml:space="preserve"> Institute Publications.</w:t>
      </w:r>
    </w:p>
    <w:p w14:paraId="6DDD6C8D" w14:textId="77777777" w:rsidR="00B04F23" w:rsidRPr="00BC4E88" w:rsidRDefault="00B04F23" w:rsidP="00D33340">
      <w:pPr>
        <w:pStyle w:val="Listepuces"/>
        <w:numPr>
          <w:ilvl w:val="0"/>
          <w:numId w:val="0"/>
        </w:numPr>
        <w:ind w:left="360" w:hanging="360"/>
        <w:jc w:val="both"/>
        <w:rPr>
          <w:rFonts w:ascii="Times New Roman" w:hAnsi="Times New Roman" w:cs="Times New Roman"/>
          <w:sz w:val="10"/>
          <w:lang w:val="en-CA"/>
        </w:rPr>
      </w:pPr>
    </w:p>
    <w:p w14:paraId="2501E9DA"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Orsini</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Amandine, Jean-</w:t>
      </w:r>
      <w:proofErr w:type="spellStart"/>
      <w:r w:rsidRPr="00D33340">
        <w:rPr>
          <w:rFonts w:ascii="Times New Roman" w:hAnsi="Times New Roman" w:cs="Times New Roman"/>
          <w:lang w:val="en-CA"/>
        </w:rPr>
        <w:t>Frédéric</w:t>
      </w:r>
      <w:proofErr w:type="spellEnd"/>
      <w:r w:rsidRPr="00D33340">
        <w:rPr>
          <w:rFonts w:ascii="Times New Roman" w:hAnsi="Times New Roman" w:cs="Times New Roman"/>
          <w:lang w:val="en-CA"/>
        </w:rPr>
        <w:t xml:space="preserve"> </w:t>
      </w:r>
      <w:r w:rsidRPr="00D33340">
        <w:rPr>
          <w:rFonts w:ascii="Times New Roman" w:hAnsi="Times New Roman" w:cs="Times New Roman"/>
          <w:smallCaps/>
          <w:lang w:val="en-CA"/>
        </w:rPr>
        <w:t xml:space="preserve">Morin </w:t>
      </w:r>
      <w:r w:rsidRPr="00D33340">
        <w:rPr>
          <w:rFonts w:ascii="Times New Roman" w:hAnsi="Times New Roman" w:cs="Times New Roman"/>
          <w:lang w:val="en-CA"/>
        </w:rPr>
        <w:t xml:space="preserve">et Oran </w:t>
      </w:r>
      <w:r w:rsidRPr="00D33340">
        <w:rPr>
          <w:rFonts w:ascii="Times New Roman" w:hAnsi="Times New Roman" w:cs="Times New Roman"/>
          <w:smallCaps/>
          <w:lang w:val="en-CA"/>
        </w:rPr>
        <w:t xml:space="preserve">Young, </w:t>
      </w:r>
      <w:r w:rsidRPr="00D33340">
        <w:rPr>
          <w:rFonts w:ascii="Times New Roman" w:hAnsi="Times New Roman" w:cs="Times New Roman"/>
          <w:lang w:val="en-CA"/>
        </w:rPr>
        <w:t xml:space="preserve">2013, « Regime </w:t>
      </w:r>
      <w:r w:rsidRPr="00D6628D">
        <w:rPr>
          <w:rFonts w:ascii="Times New Roman" w:hAnsi="Times New Roman" w:cs="Times New Roman"/>
          <w:lang w:val="en-CA"/>
        </w:rPr>
        <w:t xml:space="preserve">Complexes: </w:t>
      </w:r>
      <w:r w:rsidRPr="00D6628D">
        <w:rPr>
          <w:rFonts w:ascii="Times New Roman" w:hAnsi="Times New Roman" w:cs="Times New Roman"/>
          <w:bCs/>
          <w:lang w:val="en-CA"/>
        </w:rPr>
        <w:t xml:space="preserve">A </w:t>
      </w:r>
      <w:r w:rsidRPr="00D6628D">
        <w:rPr>
          <w:rFonts w:ascii="Times New Roman" w:hAnsi="Times New Roman" w:cs="Times New Roman"/>
          <w:lang w:val="en-CA"/>
        </w:rPr>
        <w:t>Buzz</w:t>
      </w:r>
      <w:r w:rsidRPr="00D33340">
        <w:rPr>
          <w:rFonts w:ascii="Times New Roman" w:hAnsi="Times New Roman" w:cs="Times New Roman"/>
          <w:lang w:val="en-CA"/>
        </w:rPr>
        <w:t xml:space="preserve">, a Boom, or a Boost for Global Governance? », </w:t>
      </w:r>
      <w:r w:rsidRPr="00D33340">
        <w:rPr>
          <w:rFonts w:ascii="Times New Roman" w:hAnsi="Times New Roman" w:cs="Times New Roman"/>
          <w:i/>
          <w:lang w:val="en-CA"/>
        </w:rPr>
        <w:t xml:space="preserve">Global Governance, </w:t>
      </w:r>
      <w:r w:rsidRPr="00D33340">
        <w:rPr>
          <w:rFonts w:ascii="Times New Roman" w:hAnsi="Times New Roman" w:cs="Times New Roman"/>
          <w:lang w:val="en-CA"/>
        </w:rPr>
        <w:t>Vol. 19,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27-39.</w:t>
      </w:r>
    </w:p>
    <w:p w14:paraId="55751C65"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8CF447B" w14:textId="77777777" w:rsidR="00D33340" w:rsidRPr="004362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436240">
        <w:rPr>
          <w:rFonts w:ascii="Times New Roman" w:hAnsi="Times New Roman" w:cs="Times New Roman"/>
          <w:smallCaps/>
          <w:lang w:val="en-CA"/>
        </w:rPr>
        <w:t>Pauwelyn</w:t>
      </w:r>
      <w:proofErr w:type="spellEnd"/>
      <w:r w:rsidRPr="00436240">
        <w:rPr>
          <w:rFonts w:ascii="Times New Roman" w:hAnsi="Times New Roman" w:cs="Times New Roman"/>
          <w:smallCaps/>
          <w:lang w:val="en-CA"/>
        </w:rPr>
        <w:t xml:space="preserve"> </w:t>
      </w:r>
      <w:proofErr w:type="spellStart"/>
      <w:r w:rsidRPr="00436240">
        <w:rPr>
          <w:rFonts w:ascii="Times New Roman" w:hAnsi="Times New Roman" w:cs="Times New Roman"/>
          <w:lang w:val="en-CA"/>
        </w:rPr>
        <w:t>Joost</w:t>
      </w:r>
      <w:proofErr w:type="spellEnd"/>
      <w:r w:rsidRPr="00436240">
        <w:rPr>
          <w:rFonts w:ascii="Times New Roman" w:hAnsi="Times New Roman" w:cs="Times New Roman"/>
          <w:lang w:val="en-CA"/>
        </w:rPr>
        <w:t xml:space="preserve">, 2014, « At the Edge of Chaos? Foreign Investment Law as a Complex Adaptive System, How It Emerged and How It Can Be Reformed », </w:t>
      </w:r>
      <w:r w:rsidRPr="00436240">
        <w:rPr>
          <w:rFonts w:ascii="Times New Roman" w:hAnsi="Times New Roman" w:cs="Times New Roman"/>
          <w:i/>
          <w:lang w:val="en-CA"/>
        </w:rPr>
        <w:t xml:space="preserve">ICSID Review, </w:t>
      </w:r>
      <w:r w:rsidRPr="00436240">
        <w:rPr>
          <w:rFonts w:ascii="Times New Roman" w:hAnsi="Times New Roman" w:cs="Times New Roman"/>
          <w:lang w:val="en-CA"/>
        </w:rPr>
        <w:t>Vol. 29, n</w:t>
      </w:r>
      <w:r w:rsidRPr="00436240">
        <w:rPr>
          <w:rFonts w:ascii="Times New Roman" w:hAnsi="Times New Roman" w:cs="Times New Roman"/>
          <w:vertAlign w:val="superscript"/>
          <w:lang w:val="en-CA"/>
        </w:rPr>
        <w:t xml:space="preserve">o </w:t>
      </w:r>
      <w:proofErr w:type="gramStart"/>
      <w:r w:rsidRPr="00436240">
        <w:rPr>
          <w:rFonts w:ascii="Times New Roman" w:hAnsi="Times New Roman" w:cs="Times New Roman"/>
          <w:lang w:val="en-CA"/>
        </w:rPr>
        <w:t>2 :</w:t>
      </w:r>
      <w:proofErr w:type="gramEnd"/>
      <w:r w:rsidRPr="00436240">
        <w:rPr>
          <w:rFonts w:ascii="Times New Roman" w:hAnsi="Times New Roman" w:cs="Times New Roman"/>
          <w:lang w:val="en-CA"/>
        </w:rPr>
        <w:t xml:space="preserve"> 1-47.</w:t>
      </w:r>
    </w:p>
    <w:p w14:paraId="1282EAD8" w14:textId="77777777" w:rsidR="00D33340" w:rsidRPr="00436240" w:rsidRDefault="00D33340" w:rsidP="00D33340">
      <w:pPr>
        <w:pStyle w:val="Listepuces"/>
        <w:numPr>
          <w:ilvl w:val="0"/>
          <w:numId w:val="0"/>
        </w:numPr>
        <w:ind w:left="360" w:hanging="360"/>
        <w:jc w:val="both"/>
        <w:rPr>
          <w:rFonts w:ascii="Times New Roman" w:hAnsi="Times New Roman" w:cs="Times New Roman"/>
          <w:sz w:val="10"/>
          <w:lang w:val="en-CA"/>
        </w:rPr>
      </w:pPr>
    </w:p>
    <w:p w14:paraId="437810DF"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Poulsen</w:t>
      </w:r>
      <w:proofErr w:type="spellEnd"/>
      <w:r w:rsidRPr="00D33340">
        <w:rPr>
          <w:rFonts w:ascii="Times New Roman" w:hAnsi="Times New Roman" w:cs="Times New Roman"/>
          <w:lang w:val="en-CA"/>
        </w:rPr>
        <w:t xml:space="preserve"> </w:t>
      </w:r>
      <w:proofErr w:type="spellStart"/>
      <w:r w:rsidRPr="00D33340">
        <w:rPr>
          <w:rFonts w:ascii="Times New Roman" w:hAnsi="Times New Roman" w:cs="Times New Roman"/>
          <w:lang w:val="en-CA"/>
        </w:rPr>
        <w:t>Lauge</w:t>
      </w:r>
      <w:proofErr w:type="spellEnd"/>
      <w:r w:rsidRPr="00D33340">
        <w:rPr>
          <w:rFonts w:ascii="Times New Roman" w:hAnsi="Times New Roman" w:cs="Times New Roman"/>
          <w:lang w:val="en-CA"/>
        </w:rPr>
        <w:t xml:space="preserve"> N. </w:t>
      </w:r>
      <w:proofErr w:type="spellStart"/>
      <w:r w:rsidRPr="00D33340">
        <w:rPr>
          <w:rFonts w:ascii="Times New Roman" w:hAnsi="Times New Roman" w:cs="Times New Roman"/>
          <w:lang w:val="en-CA"/>
        </w:rPr>
        <w:t>Skovgaard</w:t>
      </w:r>
      <w:proofErr w:type="spellEnd"/>
      <w:r w:rsidRPr="00D33340">
        <w:rPr>
          <w:rFonts w:ascii="Times New Roman" w:hAnsi="Times New Roman" w:cs="Times New Roman"/>
          <w:lang w:val="en-CA"/>
        </w:rPr>
        <w:t xml:space="preserve">, 2012, « Bounded Rationality and the Diffusion of Modern Investment Treaties », </w:t>
      </w:r>
      <w:r w:rsidRPr="00D33340">
        <w:rPr>
          <w:rFonts w:ascii="Times New Roman" w:hAnsi="Times New Roman" w:cs="Times New Roman"/>
          <w:i/>
          <w:lang w:val="en-CA"/>
        </w:rPr>
        <w:t xml:space="preserve">International Studies </w:t>
      </w:r>
      <w:proofErr w:type="spellStart"/>
      <w:r w:rsidRPr="00D33340">
        <w:rPr>
          <w:rFonts w:ascii="Times New Roman" w:hAnsi="Times New Roman" w:cs="Times New Roman"/>
          <w:i/>
          <w:lang w:val="en-CA"/>
        </w:rPr>
        <w:t>Quaterly</w:t>
      </w:r>
      <w:proofErr w:type="spellEnd"/>
      <w:r w:rsidRPr="00D33340">
        <w:rPr>
          <w:rFonts w:ascii="Times New Roman" w:hAnsi="Times New Roman" w:cs="Times New Roman"/>
          <w:i/>
          <w:lang w:val="en-CA"/>
        </w:rPr>
        <w:t xml:space="preserve">, </w:t>
      </w:r>
      <w:r w:rsidRPr="00D33340">
        <w:rPr>
          <w:rFonts w:ascii="Times New Roman" w:hAnsi="Times New Roman" w:cs="Times New Roman"/>
          <w:lang w:val="en-CA"/>
        </w:rPr>
        <w:t>Vol. 58,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1-14.</w:t>
      </w:r>
    </w:p>
    <w:p w14:paraId="702C21E3" w14:textId="77777777" w:rsidR="00D33340" w:rsidRPr="00D33340" w:rsidRDefault="00D33340" w:rsidP="00D33340">
      <w:pPr>
        <w:pStyle w:val="Listepuces"/>
        <w:numPr>
          <w:ilvl w:val="0"/>
          <w:numId w:val="0"/>
        </w:numPr>
        <w:ind w:left="360" w:hanging="360"/>
        <w:jc w:val="both"/>
        <w:rPr>
          <w:rFonts w:ascii="Times New Roman" w:hAnsi="Times New Roman" w:cs="Times New Roman"/>
          <w:smallCaps/>
          <w:sz w:val="10"/>
          <w:lang w:val="en-CA"/>
        </w:rPr>
      </w:pPr>
    </w:p>
    <w:p w14:paraId="681CEA5D"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Poulsen</w:t>
      </w:r>
      <w:proofErr w:type="spellEnd"/>
      <w:r w:rsidRPr="00D33340">
        <w:rPr>
          <w:rFonts w:ascii="Times New Roman" w:hAnsi="Times New Roman" w:cs="Times New Roman"/>
          <w:lang w:val="en-CA"/>
        </w:rPr>
        <w:t xml:space="preserve"> </w:t>
      </w:r>
      <w:proofErr w:type="spellStart"/>
      <w:r w:rsidRPr="00D33340">
        <w:rPr>
          <w:rFonts w:ascii="Times New Roman" w:hAnsi="Times New Roman" w:cs="Times New Roman"/>
          <w:lang w:val="en-CA"/>
        </w:rPr>
        <w:t>Lauge</w:t>
      </w:r>
      <w:proofErr w:type="spellEnd"/>
      <w:r w:rsidRPr="00D33340">
        <w:rPr>
          <w:rFonts w:ascii="Times New Roman" w:hAnsi="Times New Roman" w:cs="Times New Roman"/>
          <w:lang w:val="en-CA"/>
        </w:rPr>
        <w:t xml:space="preserve"> N. </w:t>
      </w:r>
      <w:proofErr w:type="spellStart"/>
      <w:r w:rsidRPr="00D33340">
        <w:rPr>
          <w:rFonts w:ascii="Times New Roman" w:hAnsi="Times New Roman" w:cs="Times New Roman"/>
          <w:lang w:val="en-CA"/>
        </w:rPr>
        <w:t>Skovgaard</w:t>
      </w:r>
      <w:proofErr w:type="spellEnd"/>
      <w:r w:rsidRPr="00D33340">
        <w:rPr>
          <w:rFonts w:ascii="Times New Roman" w:hAnsi="Times New Roman" w:cs="Times New Roman"/>
          <w:lang w:val="en-CA"/>
        </w:rPr>
        <w:t xml:space="preserve"> et Emma </w:t>
      </w:r>
      <w:proofErr w:type="spellStart"/>
      <w:r w:rsidRPr="00D33340">
        <w:rPr>
          <w:rFonts w:ascii="Times New Roman" w:hAnsi="Times New Roman" w:cs="Times New Roman"/>
          <w:smallCaps/>
          <w:lang w:val="en-CA"/>
        </w:rPr>
        <w:t>Aisbett</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2014, « When the Claim Hits: Bilateral Investment Treaties and Bounded Rational Learning », </w:t>
      </w:r>
      <w:r w:rsidRPr="00D33340">
        <w:rPr>
          <w:rFonts w:ascii="Times New Roman" w:hAnsi="Times New Roman" w:cs="Times New Roman"/>
          <w:i/>
          <w:lang w:val="en-CA"/>
        </w:rPr>
        <w:t xml:space="preserve">World Politics, </w:t>
      </w:r>
      <w:r w:rsidRPr="00D33340">
        <w:rPr>
          <w:rFonts w:ascii="Times New Roman" w:hAnsi="Times New Roman" w:cs="Times New Roman"/>
          <w:lang w:val="en-CA"/>
        </w:rPr>
        <w:t>Vol. 65,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273-313.</w:t>
      </w:r>
    </w:p>
    <w:p w14:paraId="3857D704"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1CE07724"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Poulsen</w:t>
      </w:r>
      <w:proofErr w:type="spellEnd"/>
      <w:r w:rsidRPr="00D33340">
        <w:rPr>
          <w:rFonts w:ascii="Times New Roman" w:hAnsi="Times New Roman" w:cs="Times New Roman"/>
          <w:smallCaps/>
          <w:lang w:val="en-CA"/>
        </w:rPr>
        <w:t xml:space="preserve"> </w:t>
      </w:r>
      <w:proofErr w:type="spellStart"/>
      <w:r w:rsidRPr="00D33340">
        <w:rPr>
          <w:rFonts w:ascii="Times New Roman" w:hAnsi="Times New Roman" w:cs="Times New Roman"/>
          <w:lang w:val="en-CA"/>
        </w:rPr>
        <w:t>Lauge</w:t>
      </w:r>
      <w:proofErr w:type="spellEnd"/>
      <w:r w:rsidRPr="00D33340">
        <w:rPr>
          <w:rFonts w:ascii="Times New Roman" w:hAnsi="Times New Roman" w:cs="Times New Roman"/>
          <w:lang w:val="en-CA"/>
        </w:rPr>
        <w:t xml:space="preserve"> N. </w:t>
      </w:r>
      <w:proofErr w:type="spellStart"/>
      <w:r w:rsidRPr="00D33340">
        <w:rPr>
          <w:rFonts w:ascii="Times New Roman" w:hAnsi="Times New Roman" w:cs="Times New Roman"/>
          <w:lang w:val="en-CA"/>
        </w:rPr>
        <w:t>Skovgaard</w:t>
      </w:r>
      <w:proofErr w:type="spellEnd"/>
      <w:r w:rsidRPr="00D33340">
        <w:rPr>
          <w:rFonts w:ascii="Times New Roman" w:hAnsi="Times New Roman" w:cs="Times New Roman"/>
          <w:lang w:val="en-CA"/>
        </w:rPr>
        <w:t xml:space="preserve">, 2015, </w:t>
      </w:r>
      <w:r w:rsidRPr="00D33340">
        <w:rPr>
          <w:rFonts w:ascii="Times New Roman" w:hAnsi="Times New Roman" w:cs="Times New Roman"/>
          <w:i/>
          <w:lang w:val="en-CA"/>
        </w:rPr>
        <w:t>Bounded Rationality and Economic Diplomacy</w:t>
      </w:r>
      <w:r w:rsidRPr="00D33340">
        <w:rPr>
          <w:rFonts w:ascii="Times New Roman" w:hAnsi="Times New Roman" w:cs="Times New Roman"/>
          <w:lang w:val="en-CA"/>
        </w:rPr>
        <w:t>, Cambridge, Cambridge University Press.</w:t>
      </w:r>
    </w:p>
    <w:p w14:paraId="6A476CE1"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5128D48B" w14:textId="77777777" w:rsidR="00D33340" w:rsidRPr="00D33340" w:rsidRDefault="00D33340" w:rsidP="00835D52">
      <w:pPr>
        <w:ind w:left="426" w:hanging="426"/>
        <w:jc w:val="both"/>
        <w:rPr>
          <w:rFonts w:ascii="Times New Roman" w:hAnsi="Times New Roman" w:cs="Times New Roman"/>
          <w:lang w:val="en-CA"/>
        </w:rPr>
      </w:pPr>
      <w:proofErr w:type="spellStart"/>
      <w:r w:rsidRPr="00D33340">
        <w:rPr>
          <w:rFonts w:ascii="Times New Roman" w:hAnsi="Times New Roman" w:cs="Times New Roman"/>
          <w:smallCaps/>
          <w:lang w:val="en-CA"/>
        </w:rPr>
        <w:t>Puig</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Sergio, 2014, « No Right Without a Remedy: Foundations of Investor-State Arbitration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Z. </w:t>
      </w:r>
      <w:r w:rsidRPr="00D33340">
        <w:rPr>
          <w:rFonts w:ascii="Times New Roman" w:hAnsi="Times New Roman" w:cs="Times New Roman"/>
          <w:smallCaps/>
          <w:lang w:val="en-CA"/>
        </w:rPr>
        <w:t xml:space="preserve">Douglas, J. </w:t>
      </w:r>
      <w:proofErr w:type="spellStart"/>
      <w:r w:rsidRPr="00D33340">
        <w:rPr>
          <w:rFonts w:ascii="Times New Roman" w:hAnsi="Times New Roman" w:cs="Times New Roman"/>
          <w:smallCaps/>
          <w:lang w:val="en-CA"/>
        </w:rPr>
        <w:t>Pauwelyn</w:t>
      </w:r>
      <w:proofErr w:type="spellEnd"/>
      <w:r w:rsidRPr="00D33340">
        <w:rPr>
          <w:rFonts w:ascii="Times New Roman" w:hAnsi="Times New Roman" w:cs="Times New Roman"/>
          <w:smallCaps/>
          <w:lang w:val="en-CA"/>
        </w:rPr>
        <w:t xml:space="preserve">, J. E. </w:t>
      </w:r>
      <w:proofErr w:type="spellStart"/>
      <w:r w:rsidRPr="00D33340">
        <w:rPr>
          <w:rFonts w:ascii="Times New Roman" w:hAnsi="Times New Roman" w:cs="Times New Roman"/>
          <w:smallCaps/>
          <w:lang w:val="en-CA"/>
        </w:rPr>
        <w:t>Viñuales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i/>
          <w:lang w:val="en-CA"/>
        </w:rPr>
        <w:t>The Foundations of International Investment Law: Bringing Theory into Practice</w:t>
      </w:r>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Oxford, Oxford University </w:t>
      </w:r>
      <w:proofErr w:type="gramStart"/>
      <w:r w:rsidRPr="00D33340">
        <w:rPr>
          <w:rFonts w:ascii="Times New Roman" w:hAnsi="Times New Roman" w:cs="Times New Roman"/>
          <w:lang w:val="en-CA"/>
        </w:rPr>
        <w:t>Press :</w:t>
      </w:r>
      <w:proofErr w:type="gramEnd"/>
      <w:r w:rsidRPr="00D33340">
        <w:rPr>
          <w:rFonts w:ascii="Times New Roman" w:hAnsi="Times New Roman" w:cs="Times New Roman"/>
          <w:lang w:val="en-CA"/>
        </w:rPr>
        <w:t xml:space="preserve"> 236-263.</w:t>
      </w:r>
    </w:p>
    <w:p w14:paraId="266ECC69" w14:textId="77777777" w:rsidR="00D33340" w:rsidRPr="00D33340" w:rsidRDefault="00D33340" w:rsidP="00D33340">
      <w:pPr>
        <w:rPr>
          <w:rFonts w:ascii="Times New Roman" w:hAnsi="Times New Roman" w:cs="Times New Roman"/>
          <w:smallCaps/>
          <w:sz w:val="10"/>
          <w:lang w:val="en-CA"/>
        </w:rPr>
      </w:pPr>
    </w:p>
    <w:p w14:paraId="03A4B1EA"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Puig</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Sergio, 2014, « Social Capital in the Arbitration Market », </w:t>
      </w:r>
      <w:r w:rsidRPr="00D33340">
        <w:rPr>
          <w:rFonts w:ascii="Times New Roman" w:hAnsi="Times New Roman" w:cs="Times New Roman"/>
          <w:i/>
          <w:lang w:val="en-CA"/>
        </w:rPr>
        <w:t>E</w:t>
      </w:r>
      <w:r w:rsidRPr="00D33340">
        <w:rPr>
          <w:rFonts w:ascii="Times New Roman" w:hAnsi="Times New Roman" w:cs="Times New Roman"/>
          <w:i/>
          <w:iCs/>
          <w:lang w:val="en-CA"/>
        </w:rPr>
        <w:t xml:space="preserve">uropean Journal of International Law, </w:t>
      </w:r>
      <w:r w:rsidRPr="00D33340">
        <w:rPr>
          <w:rFonts w:ascii="Times New Roman" w:hAnsi="Times New Roman" w:cs="Times New Roman"/>
          <w:iCs/>
          <w:lang w:val="en-CA"/>
        </w:rPr>
        <w:t>Vol. 25, n</w:t>
      </w:r>
      <w:r w:rsidRPr="00D33340">
        <w:rPr>
          <w:rFonts w:ascii="Times New Roman" w:hAnsi="Times New Roman" w:cs="Times New Roman"/>
          <w:iCs/>
          <w:vertAlign w:val="superscript"/>
          <w:lang w:val="en-CA"/>
        </w:rPr>
        <w:t xml:space="preserve">o </w:t>
      </w:r>
      <w:proofErr w:type="gramStart"/>
      <w:r w:rsidRPr="00D33340">
        <w:rPr>
          <w:rFonts w:ascii="Times New Roman" w:hAnsi="Times New Roman" w:cs="Times New Roman"/>
          <w:iCs/>
          <w:lang w:val="en-CA"/>
        </w:rPr>
        <w:t>2 :</w:t>
      </w:r>
      <w:proofErr w:type="gramEnd"/>
      <w:r w:rsidRPr="00D33340">
        <w:rPr>
          <w:rFonts w:ascii="Times New Roman" w:hAnsi="Times New Roman" w:cs="Times New Roman"/>
          <w:iCs/>
          <w:lang w:val="en-CA"/>
        </w:rPr>
        <w:t xml:space="preserve"> 387-424.</w:t>
      </w:r>
    </w:p>
    <w:p w14:paraId="604A0259"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1248EDD8"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lastRenderedPageBreak/>
        <w:t>Raustiala</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Karl et David G. </w:t>
      </w:r>
      <w:r w:rsidRPr="00D33340">
        <w:rPr>
          <w:rFonts w:ascii="Times New Roman" w:hAnsi="Times New Roman" w:cs="Times New Roman"/>
          <w:smallCaps/>
          <w:lang w:val="en-CA"/>
        </w:rPr>
        <w:t xml:space="preserve">Victor, </w:t>
      </w:r>
      <w:r w:rsidRPr="00D33340">
        <w:rPr>
          <w:rFonts w:ascii="Times New Roman" w:hAnsi="Times New Roman" w:cs="Times New Roman"/>
          <w:lang w:val="en-CA"/>
        </w:rPr>
        <w:t xml:space="preserve">2004, « The Regime Complex for Plant Genetic Resources », </w:t>
      </w:r>
      <w:r w:rsidRPr="00D33340">
        <w:rPr>
          <w:rFonts w:ascii="Times New Roman" w:hAnsi="Times New Roman" w:cs="Times New Roman"/>
          <w:i/>
          <w:lang w:val="en-CA"/>
        </w:rPr>
        <w:t xml:space="preserve">International Organization, </w:t>
      </w:r>
      <w:r w:rsidRPr="00D33340">
        <w:rPr>
          <w:rFonts w:ascii="Times New Roman" w:hAnsi="Times New Roman" w:cs="Times New Roman"/>
          <w:lang w:val="en-CA"/>
        </w:rPr>
        <w:t>Vol. 58,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277-309.</w:t>
      </w:r>
    </w:p>
    <w:p w14:paraId="12D94553"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34452A10" w14:textId="41E6805A"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Reinisch</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August, 2014, « Putti</w:t>
      </w:r>
      <w:r w:rsidR="00D6628D">
        <w:rPr>
          <w:rFonts w:ascii="Times New Roman" w:hAnsi="Times New Roman" w:cs="Times New Roman"/>
          <w:lang w:val="en-CA"/>
        </w:rPr>
        <w:t>ng the Pieces Together ... an EU</w:t>
      </w:r>
      <w:r w:rsidRPr="00D33340">
        <w:rPr>
          <w:rFonts w:ascii="Times New Roman" w:hAnsi="Times New Roman" w:cs="Times New Roman"/>
          <w:lang w:val="en-CA"/>
        </w:rPr>
        <w:t xml:space="preserve"> Model bit?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679-704.</w:t>
      </w:r>
    </w:p>
    <w:p w14:paraId="5C6B8865"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245C69B4"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Rosendorff</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Peter B., 2005, « Stability and Rigidity: Politics and Design of the WTO's Dispute Settlement Procedure », </w:t>
      </w:r>
      <w:r w:rsidRPr="00D33340">
        <w:rPr>
          <w:rFonts w:ascii="Times New Roman" w:hAnsi="Times New Roman" w:cs="Times New Roman"/>
          <w:i/>
          <w:lang w:val="en-CA"/>
        </w:rPr>
        <w:t>The American Political Science Review</w:t>
      </w:r>
      <w:r w:rsidRPr="00D33340">
        <w:rPr>
          <w:rFonts w:ascii="Times New Roman" w:hAnsi="Times New Roman" w:cs="Times New Roman"/>
          <w:lang w:val="en-CA"/>
        </w:rPr>
        <w:t>, Vol. 99,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3 :</w:t>
      </w:r>
      <w:proofErr w:type="gramEnd"/>
      <w:r w:rsidRPr="00D33340">
        <w:rPr>
          <w:rFonts w:ascii="Times New Roman" w:hAnsi="Times New Roman" w:cs="Times New Roman"/>
          <w:lang w:val="en-CA"/>
        </w:rPr>
        <w:t xml:space="preserve"> 389-400.</w:t>
      </w:r>
    </w:p>
    <w:p w14:paraId="084FDE29"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7B0A6E1C"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Schill</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Stephan W., 2009, </w:t>
      </w:r>
      <w:r w:rsidRPr="00D33340">
        <w:rPr>
          <w:rFonts w:ascii="Times New Roman" w:hAnsi="Times New Roman" w:cs="Times New Roman"/>
          <w:i/>
          <w:lang w:val="en-CA"/>
        </w:rPr>
        <w:t xml:space="preserve">The </w:t>
      </w:r>
      <w:proofErr w:type="spellStart"/>
      <w:r w:rsidRPr="00D33340">
        <w:rPr>
          <w:rFonts w:ascii="Times New Roman" w:hAnsi="Times New Roman" w:cs="Times New Roman"/>
          <w:i/>
          <w:lang w:val="en-CA"/>
        </w:rPr>
        <w:t>Multilateralization</w:t>
      </w:r>
      <w:proofErr w:type="spellEnd"/>
      <w:r w:rsidRPr="00D33340">
        <w:rPr>
          <w:rFonts w:ascii="Times New Roman" w:hAnsi="Times New Roman" w:cs="Times New Roman"/>
          <w:i/>
          <w:lang w:val="en-CA"/>
        </w:rPr>
        <w:t xml:space="preserve"> of International Investment Law</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New-York</w:t>
      </w:r>
      <w:proofErr w:type="gramEnd"/>
      <w:r w:rsidRPr="00D33340">
        <w:rPr>
          <w:rFonts w:ascii="Times New Roman" w:hAnsi="Times New Roman" w:cs="Times New Roman"/>
          <w:lang w:val="en-CA"/>
        </w:rPr>
        <w:t>, Cambridge University Press.</w:t>
      </w:r>
    </w:p>
    <w:p w14:paraId="5A2F103F"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5A8F2643"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smallCaps/>
          <w:lang w:val="en-CA"/>
        </w:rPr>
        <w:t>Schill</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Stephan W., 2013, « Luxembourg Limits: Conditions for Investor-State Dispute Settlement under Future EU Investments Agreements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M. </w:t>
      </w:r>
      <w:proofErr w:type="spellStart"/>
      <w:r w:rsidRPr="00D33340">
        <w:rPr>
          <w:rFonts w:ascii="Times New Roman" w:hAnsi="Times New Roman" w:cs="Times New Roman"/>
          <w:smallCaps/>
          <w:lang w:val="en-CA"/>
        </w:rPr>
        <w:t>Bungenberg</w:t>
      </w:r>
      <w:proofErr w:type="spellEnd"/>
      <w:r w:rsidRPr="00D33340">
        <w:rPr>
          <w:rFonts w:ascii="Times New Roman" w:hAnsi="Times New Roman" w:cs="Times New Roman"/>
          <w:smallCaps/>
          <w:lang w:val="en-CA"/>
        </w:rPr>
        <w:t xml:space="preserve">, A. </w:t>
      </w:r>
      <w:proofErr w:type="spellStart"/>
      <w:r w:rsidRPr="00D33340">
        <w:rPr>
          <w:rFonts w:ascii="Times New Roman" w:hAnsi="Times New Roman" w:cs="Times New Roman"/>
          <w:smallCaps/>
          <w:lang w:val="en-CA"/>
        </w:rPr>
        <w:t>Reinisch</w:t>
      </w:r>
      <w:proofErr w:type="spellEnd"/>
      <w:r w:rsidRPr="00D33340">
        <w:rPr>
          <w:rFonts w:ascii="Times New Roman" w:hAnsi="Times New Roman" w:cs="Times New Roman"/>
          <w:smallCaps/>
          <w:lang w:val="en-CA"/>
        </w:rPr>
        <w:t xml:space="preserve">, C. </w:t>
      </w:r>
      <w:proofErr w:type="spellStart"/>
      <w:r w:rsidRPr="00D33340">
        <w:rPr>
          <w:rFonts w:ascii="Times New Roman" w:hAnsi="Times New Roman" w:cs="Times New Roman"/>
          <w:smallCaps/>
          <w:lang w:val="en-CA"/>
        </w:rPr>
        <w:t>Tietje</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dir.), </w:t>
      </w:r>
      <w:r w:rsidRPr="00D33340">
        <w:rPr>
          <w:rFonts w:ascii="Times New Roman" w:hAnsi="Times New Roman" w:cs="Times New Roman"/>
          <w:i/>
          <w:lang w:val="en-CA"/>
        </w:rPr>
        <w:t>EU and Investment Agreements: Open Questions and Remaining Challenges</w:t>
      </w:r>
      <w:r w:rsidRPr="00D33340">
        <w:rPr>
          <w:rFonts w:ascii="Times New Roman" w:hAnsi="Times New Roman" w:cs="Times New Roman"/>
          <w:lang w:val="en-CA"/>
        </w:rPr>
        <w:t xml:space="preserve">, Baden-Baden, </w:t>
      </w:r>
      <w:proofErr w:type="spellStart"/>
      <w:proofErr w:type="gramStart"/>
      <w:r w:rsidRPr="00D33340">
        <w:rPr>
          <w:rFonts w:ascii="Times New Roman" w:hAnsi="Times New Roman" w:cs="Times New Roman"/>
          <w:lang w:val="en-CA"/>
        </w:rPr>
        <w:t>Nomos</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37-56.</w:t>
      </w:r>
    </w:p>
    <w:p w14:paraId="40BBCF54"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00D8E14" w14:textId="47E56C73"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Shan </w:t>
      </w:r>
      <w:proofErr w:type="spellStart"/>
      <w:r w:rsidRPr="00D33340">
        <w:rPr>
          <w:rFonts w:ascii="Times New Roman" w:hAnsi="Times New Roman" w:cs="Times New Roman"/>
          <w:lang w:val="en-CA"/>
        </w:rPr>
        <w:t>Wenhua</w:t>
      </w:r>
      <w:proofErr w:type="spellEnd"/>
      <w:r w:rsidRPr="00D33340">
        <w:rPr>
          <w:rFonts w:ascii="Times New Roman" w:hAnsi="Times New Roman" w:cs="Times New Roman"/>
          <w:lang w:val="en-CA"/>
        </w:rPr>
        <w:t xml:space="preserve"> et Sheng </w:t>
      </w:r>
      <w:r w:rsidRPr="00D33340">
        <w:rPr>
          <w:rFonts w:ascii="Times New Roman" w:hAnsi="Times New Roman" w:cs="Times New Roman"/>
          <w:smallCaps/>
          <w:lang w:val="en-CA"/>
        </w:rPr>
        <w:t xml:space="preserve">Zhang, 2012, « </w:t>
      </w:r>
      <w:r w:rsidRPr="00D33340">
        <w:rPr>
          <w:rFonts w:ascii="Times New Roman" w:hAnsi="Times New Roman" w:cs="Times New Roman"/>
          <w:lang w:val="en-CA"/>
        </w:rPr>
        <w:t>The</w:t>
      </w:r>
      <w:r w:rsidR="00D6628D">
        <w:rPr>
          <w:rFonts w:ascii="Times New Roman" w:hAnsi="Times New Roman" w:cs="Times New Roman"/>
          <w:lang w:val="en-CA"/>
        </w:rPr>
        <w:t xml:space="preserve"> Potential EU-China BIT</w:t>
      </w:r>
      <w:r w:rsidRPr="00D33340">
        <w:rPr>
          <w:rFonts w:ascii="Times New Roman" w:hAnsi="Times New Roman" w:cs="Times New Roman"/>
          <w:lang w:val="en-CA"/>
        </w:rPr>
        <w:t xml:space="preserve">: Issues and Implications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M. </w:t>
      </w:r>
      <w:proofErr w:type="spellStart"/>
      <w:r w:rsidRPr="00D33340">
        <w:rPr>
          <w:rFonts w:ascii="Times New Roman" w:hAnsi="Times New Roman" w:cs="Times New Roman"/>
          <w:smallCaps/>
          <w:lang w:val="en-CA"/>
        </w:rPr>
        <w:t>Bungenberg</w:t>
      </w:r>
      <w:proofErr w:type="spellEnd"/>
      <w:r w:rsidRPr="00D33340">
        <w:rPr>
          <w:rFonts w:ascii="Times New Roman" w:hAnsi="Times New Roman" w:cs="Times New Roman"/>
          <w:smallCaps/>
          <w:lang w:val="en-CA"/>
        </w:rPr>
        <w:t xml:space="preserve">, A. </w:t>
      </w:r>
      <w:proofErr w:type="spellStart"/>
      <w:r w:rsidRPr="00D33340">
        <w:rPr>
          <w:rFonts w:ascii="Times New Roman" w:hAnsi="Times New Roman" w:cs="Times New Roman"/>
          <w:smallCaps/>
          <w:lang w:val="en-CA"/>
        </w:rPr>
        <w:t>Reinisch</w:t>
      </w:r>
      <w:proofErr w:type="spellEnd"/>
      <w:r w:rsidRPr="00D33340">
        <w:rPr>
          <w:rFonts w:ascii="Times New Roman" w:hAnsi="Times New Roman" w:cs="Times New Roman"/>
          <w:smallCaps/>
          <w:lang w:val="en-CA"/>
        </w:rPr>
        <w:t xml:space="preserve">, C. </w:t>
      </w:r>
      <w:proofErr w:type="spellStart"/>
      <w:r w:rsidRPr="00D33340">
        <w:rPr>
          <w:rFonts w:ascii="Times New Roman" w:hAnsi="Times New Roman" w:cs="Times New Roman"/>
          <w:smallCaps/>
          <w:lang w:val="en-CA"/>
        </w:rPr>
        <w:t>Tietje</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dir.), </w:t>
      </w:r>
      <w:r w:rsidRPr="00D33340">
        <w:rPr>
          <w:rFonts w:ascii="Times New Roman" w:hAnsi="Times New Roman" w:cs="Times New Roman"/>
          <w:i/>
          <w:lang w:val="en-CA"/>
        </w:rPr>
        <w:t>EU and Investment Agreements: Open Questions and Remaining Challenges</w:t>
      </w:r>
      <w:r w:rsidRPr="00D33340">
        <w:rPr>
          <w:rFonts w:ascii="Times New Roman" w:hAnsi="Times New Roman" w:cs="Times New Roman"/>
          <w:lang w:val="en-CA"/>
        </w:rPr>
        <w:t xml:space="preserve">, Baden-Baden, </w:t>
      </w:r>
      <w:proofErr w:type="spellStart"/>
      <w:proofErr w:type="gramStart"/>
      <w:r w:rsidRPr="00D33340">
        <w:rPr>
          <w:rFonts w:ascii="Times New Roman" w:hAnsi="Times New Roman" w:cs="Times New Roman"/>
          <w:lang w:val="en-CA"/>
        </w:rPr>
        <w:t>Nomos</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87-119.</w:t>
      </w:r>
    </w:p>
    <w:p w14:paraId="23105076"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43EB8560" w14:textId="680451FA" w:rsidR="00D33340" w:rsidRPr="00D33340" w:rsidRDefault="00D33340" w:rsidP="00D33340">
      <w:pPr>
        <w:pStyle w:val="Listepuces"/>
        <w:numPr>
          <w:ilvl w:val="0"/>
          <w:numId w:val="0"/>
        </w:numPr>
        <w:ind w:left="360" w:hanging="360"/>
        <w:jc w:val="both"/>
        <w:rPr>
          <w:rFonts w:ascii="Times New Roman" w:hAnsi="Times New Roman" w:cs="Times New Roman"/>
          <w:i/>
          <w:lang w:val="en-CA"/>
        </w:rPr>
      </w:pPr>
      <w:r w:rsidRPr="00D33340">
        <w:rPr>
          <w:rFonts w:ascii="Times New Roman" w:hAnsi="Times New Roman" w:cs="Times New Roman"/>
          <w:smallCaps/>
          <w:lang w:val="en-CA"/>
        </w:rPr>
        <w:t xml:space="preserve">Shan </w:t>
      </w:r>
      <w:proofErr w:type="spellStart"/>
      <w:r w:rsidRPr="00D33340">
        <w:rPr>
          <w:rFonts w:ascii="Times New Roman" w:hAnsi="Times New Roman" w:cs="Times New Roman"/>
          <w:lang w:val="en-CA"/>
        </w:rPr>
        <w:t>Wenhua</w:t>
      </w:r>
      <w:proofErr w:type="spellEnd"/>
      <w:r w:rsidRPr="00D33340">
        <w:rPr>
          <w:rFonts w:ascii="Times New Roman" w:hAnsi="Times New Roman" w:cs="Times New Roman"/>
          <w:lang w:val="en-CA"/>
        </w:rPr>
        <w:t xml:space="preserve"> et Sheng </w:t>
      </w:r>
      <w:r w:rsidRPr="00D33340">
        <w:rPr>
          <w:rFonts w:ascii="Times New Roman" w:hAnsi="Times New Roman" w:cs="Times New Roman"/>
          <w:smallCaps/>
          <w:lang w:val="en-CA"/>
        </w:rPr>
        <w:t xml:space="preserve">Zhang, 2014, </w:t>
      </w:r>
      <w:r w:rsidRPr="00D33340">
        <w:rPr>
          <w:rFonts w:ascii="Times New Roman" w:hAnsi="Times New Roman" w:cs="Times New Roman"/>
          <w:lang w:val="en-CA"/>
        </w:rPr>
        <w:t>« Market Acces</w:t>
      </w:r>
      <w:r w:rsidR="00D6628D">
        <w:rPr>
          <w:rFonts w:ascii="Times New Roman" w:hAnsi="Times New Roman" w:cs="Times New Roman"/>
          <w:lang w:val="en-CA"/>
        </w:rPr>
        <w:t>s Provisions in the Potential EU Model BIT: Towards a “Global BIT</w:t>
      </w:r>
      <w:r w:rsidRPr="00D33340">
        <w:rPr>
          <w:rFonts w:ascii="Times New Roman" w:hAnsi="Times New Roman" w:cs="Times New Roman"/>
          <w:lang w:val="en-CA"/>
        </w:rPr>
        <w:t xml:space="preserve"> 2.0”?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o</w:t>
      </w:r>
      <w:r w:rsidR="00D6628D">
        <w:rPr>
          <w:rFonts w:ascii="Times New Roman" w:hAnsi="Times New Roman" w:cs="Times New Roman"/>
          <w:vertAlign w:val="superscript"/>
          <w:lang w:val="en-CA"/>
        </w:rPr>
        <w:t>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422-453.</w:t>
      </w:r>
    </w:p>
    <w:p w14:paraId="3D68986E"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70AC84A8" w14:textId="6DF913A2"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Steger </w:t>
      </w:r>
      <w:r w:rsidR="00D6628D">
        <w:rPr>
          <w:rFonts w:ascii="Times New Roman" w:hAnsi="Times New Roman" w:cs="Times New Roman"/>
          <w:lang w:val="en-CA"/>
        </w:rPr>
        <w:t>Debra, 2013, « Enhancing the Legitimacy of International Investment Law by E</w:t>
      </w:r>
      <w:r w:rsidRPr="00D33340">
        <w:rPr>
          <w:rFonts w:ascii="Times New Roman" w:hAnsi="Times New Roman" w:cs="Times New Roman"/>
          <w:lang w:val="en-CA"/>
        </w:rPr>
        <w:t xml:space="preserve">stablishing an </w:t>
      </w:r>
      <w:r w:rsidR="00D6628D">
        <w:rPr>
          <w:rFonts w:ascii="Times New Roman" w:hAnsi="Times New Roman" w:cs="Times New Roman"/>
          <w:lang w:val="en-CA"/>
        </w:rPr>
        <w:t>Appellate M</w:t>
      </w:r>
      <w:r w:rsidRPr="00D33340">
        <w:rPr>
          <w:rFonts w:ascii="Times New Roman" w:hAnsi="Times New Roman" w:cs="Times New Roman"/>
          <w:lang w:val="en-CA"/>
        </w:rPr>
        <w:t xml:space="preserve">echanism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A. </w:t>
      </w:r>
      <w:r w:rsidRPr="00D33340">
        <w:rPr>
          <w:rFonts w:ascii="Times New Roman" w:hAnsi="Times New Roman" w:cs="Times New Roman"/>
          <w:smallCaps/>
          <w:lang w:val="en-CA"/>
        </w:rPr>
        <w:t xml:space="preserve">De </w:t>
      </w:r>
      <w:proofErr w:type="spellStart"/>
      <w:r w:rsidRPr="00D33340">
        <w:rPr>
          <w:rFonts w:ascii="Times New Roman" w:hAnsi="Times New Roman" w:cs="Times New Roman"/>
          <w:smallCaps/>
          <w:lang w:val="en-CA"/>
        </w:rPr>
        <w:t>Mestral</w:t>
      </w:r>
      <w:proofErr w:type="spellEnd"/>
      <w:r w:rsidRPr="00D33340">
        <w:rPr>
          <w:rFonts w:ascii="Times New Roman" w:hAnsi="Times New Roman" w:cs="Times New Roman"/>
          <w:smallCaps/>
          <w:lang w:val="en-CA"/>
        </w:rPr>
        <w:t xml:space="preserve">, C. Lévesque </w:t>
      </w:r>
      <w:r w:rsidRPr="00D33340">
        <w:rPr>
          <w:rFonts w:ascii="Times New Roman" w:hAnsi="Times New Roman" w:cs="Times New Roman"/>
          <w:lang w:val="en-CA"/>
        </w:rPr>
        <w:t xml:space="preserve">(dir.), </w:t>
      </w:r>
      <w:r w:rsidRPr="00D33340">
        <w:rPr>
          <w:rFonts w:ascii="Times New Roman" w:hAnsi="Times New Roman" w:cs="Times New Roman"/>
          <w:i/>
          <w:lang w:val="en-CA"/>
        </w:rPr>
        <w:t xml:space="preserve">Improving International Investment Agreements, </w:t>
      </w:r>
      <w:r w:rsidRPr="00D33340">
        <w:rPr>
          <w:rFonts w:ascii="Times New Roman" w:hAnsi="Times New Roman" w:cs="Times New Roman"/>
          <w:lang w:val="en-CA"/>
        </w:rPr>
        <w:t xml:space="preserve">New-York, </w:t>
      </w:r>
      <w:proofErr w:type="spellStart"/>
      <w:proofErr w:type="gramStart"/>
      <w:r w:rsidRPr="00D33340">
        <w:rPr>
          <w:rFonts w:ascii="Times New Roman" w:hAnsi="Times New Roman" w:cs="Times New Roman"/>
          <w:lang w:val="en-CA"/>
        </w:rPr>
        <w:t>Routledge</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247-264.</w:t>
      </w:r>
    </w:p>
    <w:p w14:paraId="256A12ED"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7164C52B"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smallCaps/>
          <w:lang w:val="en-CA"/>
        </w:rPr>
        <w:t xml:space="preserve">Strange </w:t>
      </w:r>
      <w:r w:rsidRPr="00D33340">
        <w:rPr>
          <w:rFonts w:ascii="Times New Roman" w:hAnsi="Times New Roman" w:cs="Times New Roman"/>
          <w:lang w:val="en-CA"/>
        </w:rPr>
        <w:t xml:space="preserve">Susan, 1982, « Cave! Hic </w:t>
      </w:r>
      <w:proofErr w:type="spellStart"/>
      <w:r w:rsidRPr="00D33340">
        <w:rPr>
          <w:rFonts w:ascii="Times New Roman" w:hAnsi="Times New Roman" w:cs="Times New Roman"/>
          <w:lang w:val="en-CA"/>
        </w:rPr>
        <w:t>Dragones</w:t>
      </w:r>
      <w:proofErr w:type="spellEnd"/>
      <w:r w:rsidRPr="00D33340">
        <w:rPr>
          <w:rFonts w:ascii="Times New Roman" w:hAnsi="Times New Roman" w:cs="Times New Roman"/>
          <w:lang w:val="en-CA"/>
        </w:rPr>
        <w:t xml:space="preserve">: A Critique of Regime Analysis », </w:t>
      </w:r>
      <w:r w:rsidRPr="00D33340">
        <w:rPr>
          <w:rFonts w:ascii="Times New Roman" w:hAnsi="Times New Roman" w:cs="Times New Roman"/>
          <w:i/>
          <w:lang w:val="en-CA"/>
        </w:rPr>
        <w:t xml:space="preserve">International Organization, </w:t>
      </w:r>
      <w:r w:rsidRPr="00D33340">
        <w:rPr>
          <w:rFonts w:ascii="Times New Roman" w:hAnsi="Times New Roman" w:cs="Times New Roman"/>
          <w:lang w:val="en-CA"/>
        </w:rPr>
        <w:t>Vol. 36, n</w:t>
      </w:r>
      <w:r w:rsidRPr="00D33340">
        <w:rPr>
          <w:rFonts w:ascii="Times New Roman" w:hAnsi="Times New Roman" w:cs="Times New Roman"/>
          <w:vertAlign w:val="superscript"/>
          <w:lang w:val="en-CA"/>
        </w:rPr>
        <w:t>o</w:t>
      </w:r>
      <w:r w:rsidRPr="00D33340">
        <w:rPr>
          <w:rFonts w:ascii="Times New Roman" w:hAnsi="Times New Roman" w:cs="Times New Roman"/>
          <w:lang w:val="en-CA"/>
        </w:rPr>
        <w:t xml:space="preserve"> </w:t>
      </w:r>
      <w:proofErr w:type="gramStart"/>
      <w:r w:rsidRPr="00D33340">
        <w:rPr>
          <w:rFonts w:ascii="Times New Roman" w:hAnsi="Times New Roman" w:cs="Times New Roman"/>
          <w:lang w:val="en-CA"/>
        </w:rPr>
        <w:t>2 :</w:t>
      </w:r>
      <w:proofErr w:type="gramEnd"/>
      <w:r w:rsidRPr="00D33340">
        <w:rPr>
          <w:rFonts w:ascii="Times New Roman" w:hAnsi="Times New Roman" w:cs="Times New Roman"/>
          <w:lang w:val="en-CA"/>
        </w:rPr>
        <w:t xml:space="preserve"> 479-496.</w:t>
      </w:r>
    </w:p>
    <w:p w14:paraId="41ECEFDE"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39BAEB32" w14:textId="0773152E"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Tams </w:t>
      </w:r>
      <w:r w:rsidRPr="00D33340">
        <w:rPr>
          <w:rFonts w:ascii="Times New Roman" w:hAnsi="Times New Roman" w:cs="Times New Roman"/>
          <w:lang w:val="en-CA"/>
        </w:rPr>
        <w:t>Christian J., 2014, « Procedural Aspects of Investor-State Dispute Settlement: The Emergence of a</w:t>
      </w:r>
      <w:r w:rsidR="00D6628D">
        <w:rPr>
          <w:rFonts w:ascii="Times New Roman" w:hAnsi="Times New Roman" w:cs="Times New Roman"/>
          <w:lang w:val="en-CA"/>
        </w:rPr>
        <w:t>n</w:t>
      </w:r>
      <w:r w:rsidRPr="00D33340">
        <w:rPr>
          <w:rFonts w:ascii="Times New Roman" w:hAnsi="Times New Roman" w:cs="Times New Roman"/>
          <w:lang w:val="en-CA"/>
        </w:rPr>
        <w:t xml:space="preserve"> European Approach?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586-611.</w:t>
      </w:r>
    </w:p>
    <w:p w14:paraId="52DDA4F2" w14:textId="77777777" w:rsidR="00D33340" w:rsidRPr="00D33340" w:rsidRDefault="00D33340" w:rsidP="00D33340">
      <w:pPr>
        <w:pStyle w:val="Listepuces"/>
        <w:numPr>
          <w:ilvl w:val="0"/>
          <w:numId w:val="0"/>
        </w:numPr>
        <w:ind w:left="357" w:hanging="357"/>
        <w:jc w:val="both"/>
        <w:rPr>
          <w:rFonts w:ascii="Times New Roman" w:hAnsi="Times New Roman" w:cs="Times New Roman"/>
          <w:i/>
          <w:sz w:val="10"/>
          <w:lang w:val="en-CA"/>
        </w:rPr>
      </w:pPr>
    </w:p>
    <w:p w14:paraId="1C0DB235"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Tobin </w:t>
      </w:r>
      <w:r w:rsidRPr="00D33340">
        <w:rPr>
          <w:rFonts w:ascii="Times New Roman" w:hAnsi="Times New Roman" w:cs="Times New Roman"/>
          <w:lang w:val="en-CA"/>
        </w:rPr>
        <w:t xml:space="preserve">Jennifer L. et Marc L. </w:t>
      </w:r>
      <w:r w:rsidRPr="00D33340">
        <w:rPr>
          <w:rFonts w:ascii="Times New Roman" w:hAnsi="Times New Roman" w:cs="Times New Roman"/>
          <w:smallCaps/>
          <w:lang w:val="en-CA"/>
        </w:rPr>
        <w:t xml:space="preserve">Busch, </w:t>
      </w:r>
      <w:r w:rsidRPr="00D33340">
        <w:rPr>
          <w:rFonts w:ascii="Times New Roman" w:hAnsi="Times New Roman" w:cs="Times New Roman"/>
          <w:lang w:val="en-CA"/>
        </w:rPr>
        <w:t xml:space="preserve">2010, « A BIT Is Better Than a Lot: Bilateral Investment Treaties and Preferential Trade Agreements », </w:t>
      </w:r>
      <w:r w:rsidRPr="00D33340">
        <w:rPr>
          <w:rFonts w:ascii="Times New Roman" w:hAnsi="Times New Roman" w:cs="Times New Roman"/>
          <w:i/>
          <w:lang w:val="en-CA"/>
        </w:rPr>
        <w:t xml:space="preserve">World Politics, </w:t>
      </w:r>
      <w:r w:rsidRPr="00D33340">
        <w:rPr>
          <w:rFonts w:ascii="Times New Roman" w:hAnsi="Times New Roman" w:cs="Times New Roman"/>
          <w:lang w:val="en-CA"/>
        </w:rPr>
        <w:t>Vol. 62,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1 :</w:t>
      </w:r>
      <w:proofErr w:type="gramEnd"/>
      <w:r w:rsidRPr="00D33340">
        <w:rPr>
          <w:rFonts w:ascii="Times New Roman" w:hAnsi="Times New Roman" w:cs="Times New Roman"/>
          <w:lang w:val="en-CA"/>
        </w:rPr>
        <w:t xml:space="preserve"> 1-42.</w:t>
      </w:r>
    </w:p>
    <w:p w14:paraId="547A4A02"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727615C0"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Titi</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Catharine, 2014, « Full Protection and Security, Arbitrary or Discriminatory Treatment and the Invisible EU Model BIT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534-550.</w:t>
      </w:r>
    </w:p>
    <w:p w14:paraId="372D5D96" w14:textId="77777777" w:rsidR="00D33340" w:rsidRPr="00D33340" w:rsidRDefault="00D33340" w:rsidP="00D33340">
      <w:pPr>
        <w:pStyle w:val="Listepuces"/>
        <w:numPr>
          <w:ilvl w:val="0"/>
          <w:numId w:val="0"/>
        </w:numPr>
        <w:ind w:left="357" w:hanging="357"/>
        <w:jc w:val="both"/>
        <w:rPr>
          <w:rFonts w:ascii="Times New Roman" w:hAnsi="Times New Roman" w:cs="Times New Roman"/>
          <w:smallCaps/>
          <w:sz w:val="10"/>
          <w:lang w:val="en-CA"/>
        </w:rPr>
      </w:pPr>
    </w:p>
    <w:p w14:paraId="626C20A0" w14:textId="10598BD4"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Tzanakopoulos</w:t>
      </w:r>
      <w:proofErr w:type="spellEnd"/>
      <w:r w:rsidRPr="00D33340">
        <w:rPr>
          <w:rFonts w:ascii="Times New Roman" w:hAnsi="Times New Roman" w:cs="Times New Roman"/>
          <w:smallCaps/>
          <w:lang w:val="en-CA"/>
        </w:rPr>
        <w:t xml:space="preserve"> </w:t>
      </w:r>
      <w:proofErr w:type="spellStart"/>
      <w:r w:rsidRPr="00D33340">
        <w:rPr>
          <w:rFonts w:ascii="Times New Roman" w:hAnsi="Times New Roman" w:cs="Times New Roman"/>
          <w:lang w:val="en-CA"/>
        </w:rPr>
        <w:t>Antonios</w:t>
      </w:r>
      <w:proofErr w:type="spellEnd"/>
      <w:r w:rsidRPr="00D33340">
        <w:rPr>
          <w:rFonts w:ascii="Times New Roman" w:hAnsi="Times New Roman" w:cs="Times New Roman"/>
          <w:lang w:val="en-CA"/>
        </w:rPr>
        <w:t>, 20</w:t>
      </w:r>
      <w:r w:rsidR="00D6628D">
        <w:rPr>
          <w:rFonts w:ascii="Times New Roman" w:hAnsi="Times New Roman" w:cs="Times New Roman"/>
          <w:lang w:val="en-CA"/>
        </w:rPr>
        <w:t>14, « National Treatment and MFN</w:t>
      </w:r>
      <w:r w:rsidRPr="00D33340">
        <w:rPr>
          <w:rFonts w:ascii="Times New Roman" w:hAnsi="Times New Roman" w:cs="Times New Roman"/>
          <w:lang w:val="en-CA"/>
        </w:rPr>
        <w:t xml:space="preserve"> in the </w:t>
      </w:r>
      <w:r w:rsidR="00D6628D">
        <w:rPr>
          <w:rFonts w:ascii="Times New Roman" w:hAnsi="Times New Roman" w:cs="Times New Roman"/>
          <w:lang w:val="en-CA"/>
        </w:rPr>
        <w:t>(Invisible) EU</w:t>
      </w:r>
      <w:r w:rsidRPr="00D33340">
        <w:rPr>
          <w:rFonts w:ascii="Times New Roman" w:hAnsi="Times New Roman" w:cs="Times New Roman"/>
          <w:lang w:val="en-CA"/>
        </w:rPr>
        <w:t xml:space="preserve"> Model BIT », </w:t>
      </w:r>
      <w:r w:rsidRPr="00D33340">
        <w:rPr>
          <w:rFonts w:ascii="Times New Roman" w:hAnsi="Times New Roman" w:cs="Times New Roman"/>
          <w:i/>
          <w:lang w:val="en-CA"/>
        </w:rPr>
        <w:t>The Journal of World Investment &amp; Trade</w:t>
      </w:r>
      <w:r w:rsidRPr="00D33340">
        <w:rPr>
          <w:rFonts w:ascii="Times New Roman" w:hAnsi="Times New Roman" w:cs="Times New Roman"/>
          <w:lang w:val="en-CA"/>
        </w:rPr>
        <w:t>, Vol. 15, n</w:t>
      </w:r>
      <w:r w:rsidRPr="00D33340">
        <w:rPr>
          <w:rFonts w:ascii="Times New Roman" w:hAnsi="Times New Roman" w:cs="Times New Roman"/>
          <w:vertAlign w:val="superscript"/>
          <w:lang w:val="en-CA"/>
        </w:rPr>
        <w:t xml:space="preserve">o </w:t>
      </w:r>
      <w:r w:rsidRPr="00D33340">
        <w:rPr>
          <w:rFonts w:ascii="Times New Roman" w:hAnsi="Times New Roman" w:cs="Times New Roman"/>
          <w:lang w:val="en-CA"/>
        </w:rPr>
        <w:t>3-</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484-505.</w:t>
      </w:r>
    </w:p>
    <w:p w14:paraId="692C91DC"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6DE488CC" w14:textId="77777777" w:rsidR="00D33340" w:rsidRDefault="00D33340" w:rsidP="00D33340">
      <w:pPr>
        <w:pStyle w:val="Listepuces"/>
        <w:numPr>
          <w:ilvl w:val="0"/>
          <w:numId w:val="0"/>
        </w:numPr>
        <w:ind w:left="357" w:hanging="357"/>
        <w:jc w:val="both"/>
        <w:rPr>
          <w:rFonts w:ascii="Times New Roman" w:hAnsi="Times New Roman" w:cs="Times New Roman"/>
        </w:rPr>
      </w:pPr>
      <w:proofErr w:type="spellStart"/>
      <w:r>
        <w:rPr>
          <w:rFonts w:ascii="Times New Roman" w:hAnsi="Times New Roman" w:cs="Times New Roman"/>
          <w:smallCaps/>
        </w:rPr>
        <w:t>Vlassis</w:t>
      </w:r>
      <w:proofErr w:type="spellEnd"/>
      <w:r>
        <w:rPr>
          <w:rFonts w:ascii="Times New Roman" w:hAnsi="Times New Roman" w:cs="Times New Roman"/>
          <w:smallCaps/>
        </w:rPr>
        <w:t xml:space="preserve"> </w:t>
      </w:r>
      <w:proofErr w:type="spellStart"/>
      <w:r>
        <w:rPr>
          <w:rFonts w:ascii="Times New Roman" w:hAnsi="Times New Roman" w:cs="Times New Roman"/>
        </w:rPr>
        <w:t>Antonios</w:t>
      </w:r>
      <w:proofErr w:type="spellEnd"/>
      <w:r>
        <w:rPr>
          <w:rFonts w:ascii="Times New Roman" w:hAnsi="Times New Roman" w:cs="Times New Roman"/>
        </w:rPr>
        <w:t xml:space="preserve">, 2015, « Négociations commerciales récentes et industries culturelles : de l’affrontement politique à la réconciliation normative », dans </w:t>
      </w:r>
      <w:r>
        <w:rPr>
          <w:rFonts w:ascii="Times New Roman" w:hAnsi="Times New Roman" w:cs="Times New Roman"/>
          <w:smallCaps/>
        </w:rPr>
        <w:t xml:space="preserve">C. </w:t>
      </w:r>
      <w:proofErr w:type="spellStart"/>
      <w:r>
        <w:rPr>
          <w:rFonts w:ascii="Times New Roman" w:hAnsi="Times New Roman" w:cs="Times New Roman"/>
          <w:smallCaps/>
        </w:rPr>
        <w:t>Deblock</w:t>
      </w:r>
      <w:proofErr w:type="spellEnd"/>
      <w:r>
        <w:rPr>
          <w:rFonts w:ascii="Times New Roman" w:hAnsi="Times New Roman" w:cs="Times New Roman"/>
          <w:smallCaps/>
        </w:rPr>
        <w:t xml:space="preserve">, J. </w:t>
      </w:r>
      <w:proofErr w:type="spellStart"/>
      <w:r>
        <w:rPr>
          <w:rFonts w:ascii="Times New Roman" w:hAnsi="Times New Roman" w:cs="Times New Roman"/>
          <w:smallCaps/>
        </w:rPr>
        <w:t>Lebullenger</w:t>
      </w:r>
      <w:proofErr w:type="spellEnd"/>
      <w:r>
        <w:rPr>
          <w:rFonts w:ascii="Times New Roman" w:hAnsi="Times New Roman" w:cs="Times New Roman"/>
          <w:smallCaps/>
        </w:rPr>
        <w:t>, S. Paquin (</w:t>
      </w:r>
      <w:r>
        <w:rPr>
          <w:rFonts w:ascii="Times New Roman" w:hAnsi="Times New Roman" w:cs="Times New Roman"/>
        </w:rPr>
        <w:t xml:space="preserve">éd.), </w:t>
      </w:r>
      <w:r>
        <w:rPr>
          <w:rFonts w:ascii="Times New Roman" w:hAnsi="Times New Roman" w:cs="Times New Roman"/>
          <w:i/>
        </w:rPr>
        <w:t xml:space="preserve">Un nouveau pont sur l’Atlantique, </w:t>
      </w:r>
      <w:r>
        <w:rPr>
          <w:rFonts w:ascii="Times New Roman" w:hAnsi="Times New Roman" w:cs="Times New Roman"/>
        </w:rPr>
        <w:t>Québec, Presses de l’Université du Québec : 261-280.</w:t>
      </w:r>
    </w:p>
    <w:p w14:paraId="7360FF2E" w14:textId="77777777" w:rsidR="00D33340" w:rsidRPr="00074088" w:rsidRDefault="00D33340" w:rsidP="00D33340">
      <w:pPr>
        <w:pStyle w:val="Listepuces"/>
        <w:numPr>
          <w:ilvl w:val="0"/>
          <w:numId w:val="0"/>
        </w:numPr>
        <w:ind w:left="357" w:hanging="357"/>
        <w:jc w:val="both"/>
        <w:rPr>
          <w:rFonts w:ascii="Times New Roman" w:hAnsi="Times New Roman" w:cs="Times New Roman"/>
          <w:sz w:val="10"/>
        </w:rPr>
      </w:pPr>
    </w:p>
    <w:p w14:paraId="6B2A7853" w14:textId="0C0AB5E4" w:rsidR="00D33340" w:rsidRPr="00D33340" w:rsidRDefault="00D33340" w:rsidP="00D33340">
      <w:pPr>
        <w:pStyle w:val="Listepuces"/>
        <w:numPr>
          <w:ilvl w:val="0"/>
          <w:numId w:val="0"/>
        </w:numPr>
        <w:ind w:left="357" w:hanging="357"/>
        <w:jc w:val="both"/>
        <w:rPr>
          <w:rFonts w:ascii="Times New Roman" w:hAnsi="Times New Roman" w:cs="Times New Roman"/>
          <w:lang w:val="en-CA"/>
        </w:rPr>
      </w:pPr>
      <w:r w:rsidRPr="00D33340">
        <w:rPr>
          <w:rFonts w:ascii="Times New Roman" w:hAnsi="Times New Roman" w:cs="Times New Roman"/>
          <w:smallCaps/>
          <w:lang w:val="en-CA"/>
        </w:rPr>
        <w:t xml:space="preserve">Weiss </w:t>
      </w:r>
      <w:proofErr w:type="spellStart"/>
      <w:r w:rsidRPr="00D33340">
        <w:rPr>
          <w:rFonts w:ascii="Times New Roman" w:hAnsi="Times New Roman" w:cs="Times New Roman"/>
          <w:lang w:val="en-CA"/>
        </w:rPr>
        <w:t>Friedl</w:t>
      </w:r>
      <w:proofErr w:type="spellEnd"/>
      <w:r w:rsidRPr="00D33340">
        <w:rPr>
          <w:rFonts w:ascii="Times New Roman" w:hAnsi="Times New Roman" w:cs="Times New Roman"/>
          <w:lang w:val="en-CA"/>
        </w:rPr>
        <w:t xml:space="preserve"> et </w:t>
      </w:r>
      <w:proofErr w:type="spellStart"/>
      <w:r w:rsidRPr="00D33340">
        <w:rPr>
          <w:rFonts w:ascii="Times New Roman" w:hAnsi="Times New Roman" w:cs="Times New Roman"/>
          <w:lang w:val="en-CA"/>
        </w:rPr>
        <w:t>Silke</w:t>
      </w:r>
      <w:proofErr w:type="spellEnd"/>
      <w:r w:rsidRPr="00D33340">
        <w:rPr>
          <w:rFonts w:ascii="Times New Roman" w:hAnsi="Times New Roman" w:cs="Times New Roman"/>
          <w:lang w:val="en-CA"/>
        </w:rPr>
        <w:t xml:space="preserve"> </w:t>
      </w:r>
      <w:r w:rsidRPr="00D33340">
        <w:rPr>
          <w:rFonts w:ascii="Times New Roman" w:hAnsi="Times New Roman" w:cs="Times New Roman"/>
          <w:smallCaps/>
          <w:lang w:val="en-CA"/>
        </w:rPr>
        <w:t xml:space="preserve">Steiner, </w:t>
      </w:r>
      <w:r w:rsidR="00D6628D">
        <w:rPr>
          <w:rFonts w:ascii="Times New Roman" w:hAnsi="Times New Roman" w:cs="Times New Roman"/>
          <w:lang w:val="en-CA"/>
        </w:rPr>
        <w:t>2013, « The Investment R</w:t>
      </w:r>
      <w:r w:rsidRPr="00D33340">
        <w:rPr>
          <w:rFonts w:ascii="Times New Roman" w:hAnsi="Times New Roman" w:cs="Times New Roman"/>
          <w:lang w:val="en-CA"/>
        </w:rPr>
        <w:t>egime und</w:t>
      </w:r>
      <w:r w:rsidR="00D6628D">
        <w:rPr>
          <w:rFonts w:ascii="Times New Roman" w:hAnsi="Times New Roman" w:cs="Times New Roman"/>
          <w:lang w:val="en-CA"/>
        </w:rPr>
        <w:t>er Article 207 of the TFEU – a Legal Conundrum: the Scope of ‘Foreign Direct Investment’ and the Future of I</w:t>
      </w:r>
      <w:r w:rsidRPr="00D33340">
        <w:rPr>
          <w:rFonts w:ascii="Times New Roman" w:hAnsi="Times New Roman" w:cs="Times New Roman"/>
          <w:lang w:val="en-CA"/>
        </w:rPr>
        <w:t xml:space="preserve">ntra-EU BITs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F. </w:t>
      </w:r>
      <w:proofErr w:type="spellStart"/>
      <w:r w:rsidRPr="00D33340">
        <w:rPr>
          <w:rFonts w:ascii="Times New Roman" w:hAnsi="Times New Roman" w:cs="Times New Roman"/>
          <w:smallCaps/>
          <w:lang w:val="en-CA"/>
        </w:rPr>
        <w:t>Beatens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i/>
          <w:lang w:val="en-CA"/>
        </w:rPr>
        <w:t>Investment Law Within International Law: Integrationist Perspectives</w:t>
      </w:r>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New-York, Cambridge University </w:t>
      </w:r>
      <w:proofErr w:type="gramStart"/>
      <w:r w:rsidRPr="00D33340">
        <w:rPr>
          <w:rFonts w:ascii="Times New Roman" w:hAnsi="Times New Roman" w:cs="Times New Roman"/>
          <w:lang w:val="en-CA"/>
        </w:rPr>
        <w:t>Press :</w:t>
      </w:r>
      <w:proofErr w:type="gramEnd"/>
      <w:r w:rsidRPr="00D33340">
        <w:rPr>
          <w:rFonts w:ascii="Times New Roman" w:hAnsi="Times New Roman" w:cs="Times New Roman"/>
          <w:lang w:val="en-CA"/>
        </w:rPr>
        <w:t xml:space="preserve"> 355-374.</w:t>
      </w:r>
    </w:p>
    <w:p w14:paraId="575708A7"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40F3DC4A" w14:textId="52EDEFB0"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Wouters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Jan, </w:t>
      </w:r>
      <w:proofErr w:type="spellStart"/>
      <w:r w:rsidRPr="00D33340">
        <w:rPr>
          <w:rFonts w:ascii="Times New Roman" w:hAnsi="Times New Roman" w:cs="Times New Roman"/>
          <w:lang w:val="en-CA"/>
        </w:rPr>
        <w:t>Sanderijn</w:t>
      </w:r>
      <w:proofErr w:type="spellEnd"/>
      <w:r w:rsidRPr="00D33340">
        <w:rPr>
          <w:rFonts w:ascii="Times New Roman" w:hAnsi="Times New Roman" w:cs="Times New Roman"/>
          <w:lang w:val="en-CA"/>
        </w:rPr>
        <w:t xml:space="preserve"> </w:t>
      </w:r>
      <w:proofErr w:type="spellStart"/>
      <w:r w:rsidRPr="00D33340">
        <w:rPr>
          <w:rFonts w:ascii="Times New Roman" w:hAnsi="Times New Roman" w:cs="Times New Roman"/>
          <w:smallCaps/>
          <w:lang w:val="en-CA"/>
        </w:rPr>
        <w:t>Duquet</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et Nicolas </w:t>
      </w:r>
      <w:proofErr w:type="spellStart"/>
      <w:r w:rsidRPr="00D33340">
        <w:rPr>
          <w:rFonts w:ascii="Times New Roman" w:hAnsi="Times New Roman" w:cs="Times New Roman"/>
          <w:smallCaps/>
          <w:lang w:val="en-CA"/>
        </w:rPr>
        <w:t>Hachez</w:t>
      </w:r>
      <w:proofErr w:type="spellEnd"/>
      <w:r w:rsidRPr="00D33340">
        <w:rPr>
          <w:rFonts w:ascii="Times New Roman" w:hAnsi="Times New Roman" w:cs="Times New Roman"/>
          <w:smallCaps/>
          <w:lang w:val="en-CA"/>
        </w:rPr>
        <w:t xml:space="preserve">, </w:t>
      </w:r>
      <w:r w:rsidR="00D6628D">
        <w:rPr>
          <w:rFonts w:ascii="Times New Roman" w:hAnsi="Times New Roman" w:cs="Times New Roman"/>
          <w:lang w:val="en-CA"/>
        </w:rPr>
        <w:t>2013, « International Investment Law: The Perpetual Search for C</w:t>
      </w:r>
      <w:r w:rsidRPr="00D33340">
        <w:rPr>
          <w:rFonts w:ascii="Times New Roman" w:hAnsi="Times New Roman" w:cs="Times New Roman"/>
          <w:lang w:val="en-CA"/>
        </w:rPr>
        <w:t xml:space="preserve">onsensus », </w:t>
      </w:r>
      <w:proofErr w:type="spellStart"/>
      <w:r w:rsidRPr="00D33340">
        <w:rPr>
          <w:rFonts w:ascii="Times New Roman" w:hAnsi="Times New Roman" w:cs="Times New Roman"/>
          <w:lang w:val="en-CA"/>
        </w:rPr>
        <w:t>dans</w:t>
      </w:r>
      <w:proofErr w:type="spellEnd"/>
      <w:r w:rsidRPr="00D33340">
        <w:rPr>
          <w:rFonts w:ascii="Times New Roman" w:hAnsi="Times New Roman" w:cs="Times New Roman"/>
          <w:lang w:val="en-CA"/>
        </w:rPr>
        <w:t xml:space="preserve"> O. de </w:t>
      </w:r>
      <w:proofErr w:type="spellStart"/>
      <w:r w:rsidRPr="00D33340">
        <w:rPr>
          <w:rFonts w:ascii="Times New Roman" w:hAnsi="Times New Roman" w:cs="Times New Roman"/>
          <w:smallCaps/>
          <w:lang w:val="en-CA"/>
        </w:rPr>
        <w:t>Schutter</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J. F. M. </w:t>
      </w:r>
      <w:proofErr w:type="spellStart"/>
      <w:r w:rsidRPr="00D33340">
        <w:rPr>
          <w:rFonts w:ascii="Times New Roman" w:hAnsi="Times New Roman" w:cs="Times New Roman"/>
          <w:smallCaps/>
          <w:lang w:val="en-CA"/>
        </w:rPr>
        <w:t>Swinnen</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J. </w:t>
      </w:r>
      <w:proofErr w:type="spellStart"/>
      <w:r w:rsidRPr="00D33340">
        <w:rPr>
          <w:rFonts w:ascii="Times New Roman" w:hAnsi="Times New Roman" w:cs="Times New Roman"/>
          <w:smallCaps/>
          <w:lang w:val="en-CA"/>
        </w:rPr>
        <w:t>Wouters</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(dir.), </w:t>
      </w:r>
      <w:r w:rsidR="00D6628D">
        <w:rPr>
          <w:rFonts w:ascii="Times New Roman" w:hAnsi="Times New Roman" w:cs="Times New Roman"/>
          <w:i/>
          <w:lang w:val="en-CA"/>
        </w:rPr>
        <w:t>Foreign Direct Investment and Human Development: The Law and Economics of International Investment A</w:t>
      </w:r>
      <w:r w:rsidRPr="00D33340">
        <w:rPr>
          <w:rFonts w:ascii="Times New Roman" w:hAnsi="Times New Roman" w:cs="Times New Roman"/>
          <w:i/>
          <w:lang w:val="en-CA"/>
        </w:rPr>
        <w:t xml:space="preserve">greements, </w:t>
      </w:r>
      <w:r w:rsidRPr="00D33340">
        <w:rPr>
          <w:rFonts w:ascii="Times New Roman" w:hAnsi="Times New Roman" w:cs="Times New Roman"/>
          <w:lang w:val="en-CA"/>
        </w:rPr>
        <w:t xml:space="preserve">New-York, </w:t>
      </w:r>
      <w:proofErr w:type="spellStart"/>
      <w:proofErr w:type="gramStart"/>
      <w:r w:rsidRPr="00D33340">
        <w:rPr>
          <w:rFonts w:ascii="Times New Roman" w:hAnsi="Times New Roman" w:cs="Times New Roman"/>
          <w:lang w:val="en-CA"/>
        </w:rPr>
        <w:t>Routledge</w:t>
      </w:r>
      <w:proofErr w:type="spellEnd"/>
      <w:r w:rsidRPr="00D33340">
        <w:rPr>
          <w:rFonts w:ascii="Times New Roman" w:hAnsi="Times New Roman" w:cs="Times New Roman"/>
          <w:lang w:val="en-CA"/>
        </w:rPr>
        <w:t> :</w:t>
      </w:r>
      <w:proofErr w:type="gramEnd"/>
      <w:r w:rsidRPr="00D33340">
        <w:rPr>
          <w:rFonts w:ascii="Times New Roman" w:hAnsi="Times New Roman" w:cs="Times New Roman"/>
          <w:lang w:val="en-CA"/>
        </w:rPr>
        <w:t xml:space="preserve"> 25-69.</w:t>
      </w:r>
    </w:p>
    <w:p w14:paraId="6656D2C1" w14:textId="77777777" w:rsidR="00D33340" w:rsidRPr="00D33340" w:rsidRDefault="00D33340" w:rsidP="00D33340">
      <w:pPr>
        <w:pStyle w:val="Listepuces"/>
        <w:numPr>
          <w:ilvl w:val="0"/>
          <w:numId w:val="0"/>
        </w:numPr>
        <w:ind w:left="357" w:hanging="357"/>
        <w:jc w:val="both"/>
        <w:rPr>
          <w:rFonts w:ascii="Times New Roman" w:hAnsi="Times New Roman" w:cs="Times New Roman"/>
          <w:sz w:val="10"/>
          <w:lang w:val="en-CA"/>
        </w:rPr>
      </w:pPr>
    </w:p>
    <w:p w14:paraId="2BE02815" w14:textId="77777777" w:rsidR="00D33340" w:rsidRPr="00D33340" w:rsidRDefault="00D33340" w:rsidP="00D33340">
      <w:pPr>
        <w:pStyle w:val="Listepuces"/>
        <w:numPr>
          <w:ilvl w:val="0"/>
          <w:numId w:val="0"/>
        </w:numPr>
        <w:ind w:left="357" w:hanging="357"/>
        <w:jc w:val="both"/>
        <w:rPr>
          <w:rFonts w:ascii="Times New Roman" w:hAnsi="Times New Roman" w:cs="Times New Roman"/>
          <w:lang w:val="en-CA"/>
        </w:rPr>
      </w:pPr>
      <w:proofErr w:type="spellStart"/>
      <w:r w:rsidRPr="00D33340">
        <w:rPr>
          <w:rFonts w:ascii="Times New Roman" w:hAnsi="Times New Roman" w:cs="Times New Roman"/>
          <w:smallCaps/>
          <w:lang w:val="en-CA"/>
        </w:rPr>
        <w:t>Yackee</w:t>
      </w:r>
      <w:proofErr w:type="spellEnd"/>
      <w:r w:rsidRPr="00D33340">
        <w:rPr>
          <w:rFonts w:ascii="Times New Roman" w:hAnsi="Times New Roman" w:cs="Times New Roman"/>
          <w:smallCaps/>
          <w:lang w:val="en-CA"/>
        </w:rPr>
        <w:t xml:space="preserve"> </w:t>
      </w:r>
      <w:r w:rsidRPr="00D33340">
        <w:rPr>
          <w:rFonts w:ascii="Times New Roman" w:hAnsi="Times New Roman" w:cs="Times New Roman"/>
          <w:lang w:val="en-CA"/>
        </w:rPr>
        <w:t xml:space="preserve">Jason Webb, 2008, « Bilateral Investment Treaties, Credible Commitment, and the Rule of (International) Law: Do BITs Promote Foreign Direct Investment? », </w:t>
      </w:r>
      <w:r w:rsidRPr="00D33340">
        <w:rPr>
          <w:rFonts w:ascii="Times New Roman" w:hAnsi="Times New Roman" w:cs="Times New Roman"/>
          <w:i/>
          <w:lang w:val="en-CA"/>
        </w:rPr>
        <w:t xml:space="preserve">Law &amp; Society Review, </w:t>
      </w:r>
      <w:r w:rsidRPr="00D33340">
        <w:rPr>
          <w:rFonts w:ascii="Times New Roman" w:hAnsi="Times New Roman" w:cs="Times New Roman"/>
          <w:lang w:val="en-CA"/>
        </w:rPr>
        <w:t>Vol. 42, n</w:t>
      </w:r>
      <w:r w:rsidRPr="00D33340">
        <w:rPr>
          <w:rFonts w:ascii="Times New Roman" w:hAnsi="Times New Roman" w:cs="Times New Roman"/>
          <w:vertAlign w:val="superscript"/>
          <w:lang w:val="en-CA"/>
        </w:rPr>
        <w:t xml:space="preserve">o </w:t>
      </w:r>
      <w:proofErr w:type="gramStart"/>
      <w:r w:rsidRPr="00D33340">
        <w:rPr>
          <w:rFonts w:ascii="Times New Roman" w:hAnsi="Times New Roman" w:cs="Times New Roman"/>
          <w:lang w:val="en-CA"/>
        </w:rPr>
        <w:t>4 :</w:t>
      </w:r>
      <w:proofErr w:type="gramEnd"/>
      <w:r w:rsidRPr="00D33340">
        <w:rPr>
          <w:rFonts w:ascii="Times New Roman" w:hAnsi="Times New Roman" w:cs="Times New Roman"/>
          <w:lang w:val="en-CA"/>
        </w:rPr>
        <w:t xml:space="preserve"> 805-832.</w:t>
      </w:r>
    </w:p>
    <w:p w14:paraId="516E6BAB"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
    <w:p w14:paraId="14256840" w14:textId="77777777" w:rsidR="00D33340" w:rsidRPr="00E36FBA" w:rsidRDefault="00D33340" w:rsidP="00D33340">
      <w:pPr>
        <w:pStyle w:val="Listepuces"/>
        <w:numPr>
          <w:ilvl w:val="0"/>
          <w:numId w:val="0"/>
        </w:numPr>
        <w:ind w:left="360" w:hanging="360"/>
        <w:jc w:val="both"/>
        <w:rPr>
          <w:rFonts w:ascii="Times New Roman" w:hAnsi="Times New Roman" w:cs="Times New Roman"/>
          <w:smallCaps/>
          <w:sz w:val="28"/>
          <w:u w:val="single"/>
        </w:rPr>
      </w:pPr>
      <w:r>
        <w:rPr>
          <w:rFonts w:ascii="Times New Roman" w:hAnsi="Times New Roman" w:cs="Times New Roman"/>
          <w:smallCaps/>
          <w:sz w:val="28"/>
          <w:u w:val="single"/>
        </w:rPr>
        <w:t xml:space="preserve">Publication gouvernementale </w:t>
      </w:r>
    </w:p>
    <w:p w14:paraId="7A1D0CA7"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smallCaps/>
        </w:rPr>
        <w:t xml:space="preserve">Commission européenne, 2010, </w:t>
      </w:r>
      <w:proofErr w:type="spellStart"/>
      <w:r w:rsidRPr="00B24EB1">
        <w:rPr>
          <w:rFonts w:ascii="Times New Roman" w:hAnsi="Times New Roman" w:cs="Times New Roman"/>
          <w:i/>
        </w:rPr>
        <w:t>Towards</w:t>
      </w:r>
      <w:proofErr w:type="spellEnd"/>
      <w:r w:rsidRPr="00B24EB1">
        <w:rPr>
          <w:rFonts w:ascii="Times New Roman" w:hAnsi="Times New Roman" w:cs="Times New Roman"/>
          <w:i/>
        </w:rPr>
        <w:t xml:space="preserve"> a </w:t>
      </w:r>
      <w:proofErr w:type="spellStart"/>
      <w:r w:rsidRPr="00B24EB1">
        <w:rPr>
          <w:rFonts w:ascii="Times New Roman" w:hAnsi="Times New Roman" w:cs="Times New Roman"/>
          <w:i/>
        </w:rPr>
        <w:t>comprehensive</w:t>
      </w:r>
      <w:proofErr w:type="spellEnd"/>
      <w:r w:rsidRPr="00B24EB1">
        <w:rPr>
          <w:rFonts w:ascii="Times New Roman" w:hAnsi="Times New Roman" w:cs="Times New Roman"/>
          <w:i/>
        </w:rPr>
        <w:t xml:space="preserve"> </w:t>
      </w:r>
      <w:proofErr w:type="spellStart"/>
      <w:r w:rsidRPr="00B24EB1">
        <w:rPr>
          <w:rFonts w:ascii="Times New Roman" w:hAnsi="Times New Roman" w:cs="Times New Roman"/>
          <w:i/>
        </w:rPr>
        <w:t>European</w:t>
      </w:r>
      <w:proofErr w:type="spellEnd"/>
      <w:r w:rsidRPr="00B24EB1">
        <w:rPr>
          <w:rFonts w:ascii="Times New Roman" w:hAnsi="Times New Roman" w:cs="Times New Roman"/>
          <w:i/>
        </w:rPr>
        <w:t xml:space="preserve"> international </w:t>
      </w:r>
      <w:proofErr w:type="spellStart"/>
      <w:r w:rsidRPr="00B24EB1">
        <w:rPr>
          <w:rFonts w:ascii="Times New Roman" w:hAnsi="Times New Roman" w:cs="Times New Roman"/>
          <w:i/>
        </w:rPr>
        <w:t>investment</w:t>
      </w:r>
      <w:proofErr w:type="spellEnd"/>
      <w:r w:rsidRPr="00B24EB1">
        <w:rPr>
          <w:rFonts w:ascii="Times New Roman" w:hAnsi="Times New Roman" w:cs="Times New Roman"/>
          <w:i/>
        </w:rPr>
        <w:t xml:space="preserve"> </w:t>
      </w:r>
      <w:proofErr w:type="spellStart"/>
      <w:r w:rsidRPr="00B24EB1">
        <w:rPr>
          <w:rFonts w:ascii="Times New Roman" w:hAnsi="Times New Roman" w:cs="Times New Roman"/>
          <w:i/>
        </w:rPr>
        <w:t>policy</w:t>
      </w:r>
      <w:proofErr w:type="spellEnd"/>
      <w:r>
        <w:rPr>
          <w:rFonts w:ascii="Times New Roman" w:hAnsi="Times New Roman" w:cs="Times New Roman"/>
          <w:i/>
        </w:rPr>
        <w:t xml:space="preserve">, </w:t>
      </w:r>
      <w:r>
        <w:rPr>
          <w:rFonts w:ascii="Times New Roman" w:hAnsi="Times New Roman" w:cs="Times New Roman"/>
        </w:rPr>
        <w:t>7 juillet. Consulté sur internet</w:t>
      </w:r>
    </w:p>
    <w:p w14:paraId="477B65B8"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rPr>
        <w:tab/>
        <w:t>(</w:t>
      </w:r>
      <w:hyperlink r:id="rId12" w:history="1">
        <w:r w:rsidRPr="00651B72">
          <w:rPr>
            <w:rStyle w:val="Lienhypertexte"/>
            <w:rFonts w:ascii="Times New Roman" w:hAnsi="Times New Roman" w:cs="Times New Roman"/>
          </w:rPr>
          <w:t>http://trade.ec.europa.eu/doclib/docs/2011/may/tradoc_147884.pdf</w:t>
        </w:r>
      </w:hyperlink>
      <w:r>
        <w:rPr>
          <w:rFonts w:ascii="Times New Roman" w:hAnsi="Times New Roman" w:cs="Times New Roman"/>
        </w:rPr>
        <w:t>) le 12 décembre 2015.</w:t>
      </w:r>
    </w:p>
    <w:p w14:paraId="63FA11D8" w14:textId="77777777" w:rsidR="00D33340" w:rsidRPr="00B24EB1" w:rsidRDefault="00D33340" w:rsidP="00D33340">
      <w:pPr>
        <w:pStyle w:val="Listepuces"/>
        <w:numPr>
          <w:ilvl w:val="0"/>
          <w:numId w:val="0"/>
        </w:numPr>
        <w:ind w:left="360" w:hanging="360"/>
        <w:jc w:val="both"/>
        <w:rPr>
          <w:rFonts w:ascii="Times New Roman" w:hAnsi="Times New Roman" w:cs="Times New Roman"/>
          <w:sz w:val="10"/>
        </w:rPr>
      </w:pPr>
    </w:p>
    <w:p w14:paraId="0B8B68AF" w14:textId="270BA437" w:rsidR="00D33340" w:rsidRDefault="00D33340" w:rsidP="00D33340">
      <w:pPr>
        <w:pStyle w:val="Listepuces"/>
        <w:numPr>
          <w:ilvl w:val="0"/>
          <w:numId w:val="0"/>
        </w:numPr>
        <w:ind w:left="360" w:hanging="360"/>
        <w:jc w:val="both"/>
        <w:rPr>
          <w:rFonts w:ascii="Times New Roman" w:hAnsi="Times New Roman" w:cs="Times New Roman"/>
        </w:rPr>
      </w:pPr>
      <w:r w:rsidRPr="00D33340">
        <w:rPr>
          <w:rFonts w:ascii="Times New Roman" w:hAnsi="Times New Roman" w:cs="Times New Roman"/>
          <w:smallCaps/>
          <w:lang w:val="en-CA"/>
        </w:rPr>
        <w:t>Commission européenne, 2011,</w:t>
      </w:r>
      <w:bookmarkStart w:id="32" w:name="_GoBack"/>
      <w:bookmarkEnd w:id="32"/>
      <w:r w:rsidRPr="00D33340">
        <w:rPr>
          <w:rFonts w:ascii="Times New Roman" w:hAnsi="Times New Roman" w:cs="Times New Roman"/>
          <w:lang w:val="en-CA"/>
        </w:rPr>
        <w:t xml:space="preserve"> </w:t>
      </w:r>
      <w:r w:rsidRPr="00D33340">
        <w:rPr>
          <w:rFonts w:ascii="Times New Roman" w:hAnsi="Times New Roman" w:cs="Times New Roman"/>
          <w:i/>
          <w:lang w:val="en-CA"/>
        </w:rPr>
        <w:t>Follow up to the European Parliament Resolution on the Future European International Investment Policy</w:t>
      </w:r>
      <w:r w:rsidRPr="00D33340">
        <w:rPr>
          <w:rFonts w:ascii="Times New Roman" w:hAnsi="Times New Roman" w:cs="Times New Roman"/>
          <w:lang w:val="en-CA"/>
        </w:rPr>
        <w:t xml:space="preserve">, 6 </w:t>
      </w:r>
      <w:proofErr w:type="spellStart"/>
      <w:r w:rsidRPr="00D33340">
        <w:rPr>
          <w:rFonts w:ascii="Times New Roman" w:hAnsi="Times New Roman" w:cs="Times New Roman"/>
          <w:lang w:val="en-CA"/>
        </w:rPr>
        <w:t>avril</w:t>
      </w:r>
      <w:proofErr w:type="spellEnd"/>
      <w:r w:rsidRPr="00D33340">
        <w:rPr>
          <w:rFonts w:ascii="Times New Roman" w:hAnsi="Times New Roman" w:cs="Times New Roman"/>
          <w:lang w:val="en-CA"/>
        </w:rPr>
        <w:t xml:space="preserve">. </w:t>
      </w:r>
      <w:r>
        <w:rPr>
          <w:rFonts w:ascii="Times New Roman" w:hAnsi="Times New Roman" w:cs="Times New Roman"/>
        </w:rPr>
        <w:t>Consulté sur internet</w:t>
      </w:r>
    </w:p>
    <w:p w14:paraId="7E3BB38C"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rPr>
        <w:tab/>
        <w:t>(</w:t>
      </w:r>
      <w:hyperlink r:id="rId13" w:history="1">
        <w:r w:rsidRPr="00A33E95">
          <w:rPr>
            <w:rStyle w:val="Lienhypertexte"/>
            <w:rFonts w:ascii="Times New Roman" w:hAnsi="Times New Roman" w:cs="Times New Roman"/>
          </w:rPr>
          <w:t>http://www.europarl.europa.eu/oeil/spdoc.do?i=19829&amp;j=0&amp;l=en</w:t>
        </w:r>
      </w:hyperlink>
      <w:r>
        <w:rPr>
          <w:rFonts w:ascii="Times New Roman" w:hAnsi="Times New Roman" w:cs="Times New Roman"/>
        </w:rPr>
        <w:t>) le 12 décembre 2015.</w:t>
      </w:r>
    </w:p>
    <w:p w14:paraId="536407FB" w14:textId="77777777" w:rsidR="00D33340" w:rsidRPr="009229E5" w:rsidRDefault="00D33340" w:rsidP="00D33340">
      <w:pPr>
        <w:pStyle w:val="Listepuces"/>
        <w:numPr>
          <w:ilvl w:val="0"/>
          <w:numId w:val="0"/>
        </w:numPr>
        <w:ind w:left="360" w:hanging="360"/>
        <w:jc w:val="both"/>
        <w:rPr>
          <w:rFonts w:ascii="Times New Roman" w:hAnsi="Times New Roman" w:cs="Times New Roman"/>
          <w:sz w:val="10"/>
        </w:rPr>
      </w:pPr>
    </w:p>
    <w:p w14:paraId="3F93076B" w14:textId="77777777" w:rsidR="00D33340" w:rsidRDefault="00D33340" w:rsidP="00D33340">
      <w:pPr>
        <w:pStyle w:val="Listepuces"/>
        <w:numPr>
          <w:ilvl w:val="0"/>
          <w:numId w:val="0"/>
        </w:numPr>
        <w:ind w:left="360" w:hanging="360"/>
        <w:jc w:val="both"/>
        <w:rPr>
          <w:rFonts w:ascii="Times New Roman" w:hAnsi="Times New Roman" w:cs="Times New Roman"/>
        </w:rPr>
      </w:pPr>
      <w:r w:rsidRPr="00D33340">
        <w:rPr>
          <w:rFonts w:ascii="Times New Roman" w:hAnsi="Times New Roman" w:cs="Times New Roman"/>
          <w:smallCaps/>
          <w:lang w:val="en-CA"/>
        </w:rPr>
        <w:t xml:space="preserve">Commission européenne, 2013, </w:t>
      </w:r>
      <w:r w:rsidRPr="00D33340">
        <w:rPr>
          <w:rFonts w:ascii="Times New Roman" w:hAnsi="Times New Roman" w:cs="Times New Roman"/>
          <w:i/>
          <w:lang w:val="en-CA"/>
        </w:rPr>
        <w:t>Investment Protection and Investor-to-State Dispute Settlement in EU agreements</w:t>
      </w:r>
      <w:r w:rsidRPr="00D33340">
        <w:rPr>
          <w:rFonts w:ascii="Times New Roman" w:hAnsi="Times New Roman" w:cs="Times New Roman"/>
          <w:lang w:val="en-CA"/>
        </w:rPr>
        <w:t xml:space="preserve">, 26 </w:t>
      </w:r>
      <w:proofErr w:type="spellStart"/>
      <w:r w:rsidRPr="00D33340">
        <w:rPr>
          <w:rFonts w:ascii="Times New Roman" w:hAnsi="Times New Roman" w:cs="Times New Roman"/>
          <w:lang w:val="en-CA"/>
        </w:rPr>
        <w:t>novembre</w:t>
      </w:r>
      <w:proofErr w:type="spellEnd"/>
      <w:r w:rsidRPr="00D33340">
        <w:rPr>
          <w:rFonts w:ascii="Times New Roman" w:hAnsi="Times New Roman" w:cs="Times New Roman"/>
          <w:lang w:val="en-CA"/>
        </w:rPr>
        <w:t xml:space="preserve">. </w:t>
      </w:r>
      <w:r>
        <w:rPr>
          <w:rFonts w:ascii="Times New Roman" w:hAnsi="Times New Roman" w:cs="Times New Roman"/>
        </w:rPr>
        <w:t>Consulté sur internet</w:t>
      </w:r>
    </w:p>
    <w:p w14:paraId="0690688B"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rPr>
        <w:tab/>
        <w:t>(</w:t>
      </w:r>
      <w:hyperlink r:id="rId14" w:history="1">
        <w:r w:rsidRPr="00651B72">
          <w:rPr>
            <w:rStyle w:val="Lienhypertexte"/>
            <w:rFonts w:ascii="Times New Roman" w:hAnsi="Times New Roman" w:cs="Times New Roman"/>
          </w:rPr>
          <w:t>http://trade.ec.europa.eu/doclib/docs/2013/november/tradoc_151916.pdf</w:t>
        </w:r>
      </w:hyperlink>
      <w:r>
        <w:rPr>
          <w:rFonts w:ascii="Times New Roman" w:hAnsi="Times New Roman" w:cs="Times New Roman"/>
        </w:rPr>
        <w:t>) le 12 décembre 2015.</w:t>
      </w:r>
    </w:p>
    <w:p w14:paraId="6D0759B6" w14:textId="77777777" w:rsidR="00D33340" w:rsidRPr="00236DD2" w:rsidRDefault="00D33340" w:rsidP="00D33340">
      <w:pPr>
        <w:pStyle w:val="Listepuces"/>
        <w:numPr>
          <w:ilvl w:val="0"/>
          <w:numId w:val="0"/>
        </w:numPr>
        <w:ind w:left="360" w:hanging="360"/>
        <w:jc w:val="both"/>
        <w:rPr>
          <w:rFonts w:ascii="Times New Roman" w:hAnsi="Times New Roman" w:cs="Times New Roman"/>
          <w:sz w:val="10"/>
        </w:rPr>
      </w:pPr>
    </w:p>
    <w:p w14:paraId="4E098451" w14:textId="77777777" w:rsidR="00D33340" w:rsidRDefault="00D33340" w:rsidP="00D33340">
      <w:pPr>
        <w:pStyle w:val="Listepuces"/>
        <w:numPr>
          <w:ilvl w:val="0"/>
          <w:numId w:val="0"/>
        </w:numPr>
        <w:ind w:left="360" w:hanging="360"/>
        <w:jc w:val="both"/>
        <w:rPr>
          <w:rFonts w:ascii="Times New Roman" w:hAnsi="Times New Roman" w:cs="Times New Roman"/>
        </w:rPr>
      </w:pPr>
      <w:r w:rsidRPr="00D33340">
        <w:rPr>
          <w:rFonts w:ascii="Times New Roman" w:hAnsi="Times New Roman" w:cs="Times New Roman"/>
          <w:smallCaps/>
          <w:lang w:val="en-CA"/>
        </w:rPr>
        <w:t xml:space="preserve">Commission européenne, </w:t>
      </w:r>
      <w:r w:rsidRPr="00D33340">
        <w:rPr>
          <w:rFonts w:ascii="Times New Roman" w:hAnsi="Times New Roman" w:cs="Times New Roman"/>
          <w:lang w:val="en-CA"/>
        </w:rPr>
        <w:t xml:space="preserve">2014, </w:t>
      </w:r>
      <w:r w:rsidRPr="00D33340">
        <w:rPr>
          <w:rFonts w:ascii="Times New Roman" w:hAnsi="Times New Roman" w:cs="Times New Roman"/>
          <w:i/>
          <w:lang w:val="en-CA"/>
        </w:rPr>
        <w:t xml:space="preserve">Report on the online consultation on investment protection and investor-to-state dispute settlement in the Transatlantic Trade and Investment Partnership agreement, </w:t>
      </w:r>
      <w:r w:rsidRPr="00D33340">
        <w:rPr>
          <w:rFonts w:ascii="Times New Roman" w:hAnsi="Times New Roman" w:cs="Times New Roman"/>
          <w:lang w:val="en-CA"/>
        </w:rPr>
        <w:t xml:space="preserve">13 </w:t>
      </w:r>
      <w:proofErr w:type="spellStart"/>
      <w:r w:rsidRPr="00D33340">
        <w:rPr>
          <w:rFonts w:ascii="Times New Roman" w:hAnsi="Times New Roman" w:cs="Times New Roman"/>
          <w:lang w:val="en-CA"/>
        </w:rPr>
        <w:t>janvier</w:t>
      </w:r>
      <w:proofErr w:type="spellEnd"/>
      <w:r w:rsidRPr="00D33340">
        <w:rPr>
          <w:rFonts w:ascii="Times New Roman" w:hAnsi="Times New Roman" w:cs="Times New Roman"/>
          <w:lang w:val="en-CA"/>
        </w:rPr>
        <w:t xml:space="preserve">. </w:t>
      </w:r>
      <w:r>
        <w:rPr>
          <w:rFonts w:ascii="Times New Roman" w:hAnsi="Times New Roman" w:cs="Times New Roman"/>
        </w:rPr>
        <w:t>Consulté sur internet</w:t>
      </w:r>
    </w:p>
    <w:p w14:paraId="5E25F22A"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rPr>
        <w:tab/>
        <w:t>(</w:t>
      </w:r>
      <w:hyperlink r:id="rId15" w:history="1">
        <w:r w:rsidRPr="00651B72">
          <w:rPr>
            <w:rStyle w:val="Lienhypertexte"/>
            <w:rFonts w:ascii="Times New Roman" w:hAnsi="Times New Roman" w:cs="Times New Roman"/>
          </w:rPr>
          <w:t>http://trade.ec.europa.eu/doclib/docs/2015/january/tradoc_153045.pdf</w:t>
        </w:r>
      </w:hyperlink>
      <w:r>
        <w:rPr>
          <w:rFonts w:ascii="Times New Roman" w:hAnsi="Times New Roman" w:cs="Times New Roman"/>
        </w:rPr>
        <w:t>) le 12 décembre 2015.</w:t>
      </w:r>
    </w:p>
    <w:p w14:paraId="70C80DD2" w14:textId="77777777" w:rsidR="00D33340" w:rsidRPr="00B24EB1" w:rsidRDefault="00D33340" w:rsidP="00D33340">
      <w:pPr>
        <w:pStyle w:val="Listepuces"/>
        <w:numPr>
          <w:ilvl w:val="0"/>
          <w:numId w:val="0"/>
        </w:numPr>
        <w:ind w:left="360" w:hanging="360"/>
        <w:jc w:val="both"/>
        <w:rPr>
          <w:rFonts w:ascii="Times New Roman" w:hAnsi="Times New Roman" w:cs="Times New Roman"/>
          <w:sz w:val="10"/>
        </w:rPr>
      </w:pPr>
    </w:p>
    <w:p w14:paraId="45C725F4" w14:textId="77777777" w:rsidR="00D33340" w:rsidRPr="00F52272" w:rsidRDefault="00D33340" w:rsidP="00D33340">
      <w:pPr>
        <w:pStyle w:val="Listepuces"/>
        <w:numPr>
          <w:ilvl w:val="0"/>
          <w:numId w:val="0"/>
        </w:numPr>
        <w:ind w:left="360" w:hanging="360"/>
        <w:jc w:val="both"/>
        <w:rPr>
          <w:rFonts w:ascii="Times New Roman" w:hAnsi="Times New Roman" w:cs="Times New Roman"/>
          <w:smallCaps/>
        </w:rPr>
      </w:pPr>
      <w:r>
        <w:rPr>
          <w:rFonts w:ascii="Times New Roman" w:hAnsi="Times New Roman" w:cs="Times New Roman"/>
          <w:smallCaps/>
        </w:rPr>
        <w:t>Commission européenne, 2015</w:t>
      </w:r>
      <w:r>
        <w:rPr>
          <w:rFonts w:ascii="Times New Roman" w:hAnsi="Times New Roman" w:cs="Times New Roman"/>
        </w:rPr>
        <w:t>a</w:t>
      </w:r>
      <w:r>
        <w:rPr>
          <w:rFonts w:ascii="Times New Roman" w:hAnsi="Times New Roman" w:cs="Times New Roman"/>
          <w:smallCaps/>
        </w:rPr>
        <w:t xml:space="preserve">, </w:t>
      </w:r>
      <w:r>
        <w:rPr>
          <w:rFonts w:ascii="Times New Roman" w:hAnsi="Times New Roman" w:cs="Times New Roman"/>
          <w:i/>
          <w:smallCaps/>
        </w:rPr>
        <w:t xml:space="preserve"> </w:t>
      </w:r>
      <w:r>
        <w:rPr>
          <w:rFonts w:ascii="Times New Roman" w:hAnsi="Times New Roman" w:cs="Times New Roman"/>
          <w:i/>
        </w:rPr>
        <w:t xml:space="preserve">Note de synthèse : L’investissement dans le TTIP et au-delà – La voie de la réforme, </w:t>
      </w:r>
      <w:r>
        <w:rPr>
          <w:rFonts w:ascii="Times New Roman" w:hAnsi="Times New Roman" w:cs="Times New Roman"/>
          <w:smallCaps/>
        </w:rPr>
        <w:t xml:space="preserve">5 </w:t>
      </w:r>
      <w:r>
        <w:rPr>
          <w:rFonts w:ascii="Times New Roman" w:hAnsi="Times New Roman" w:cs="Times New Roman"/>
        </w:rPr>
        <w:t>mai. Consulté sur internet</w:t>
      </w:r>
    </w:p>
    <w:p w14:paraId="0407D471" w14:textId="77777777" w:rsidR="00D33340" w:rsidRDefault="00D33340" w:rsidP="00D33340">
      <w:pPr>
        <w:pStyle w:val="Listepuces"/>
        <w:numPr>
          <w:ilvl w:val="0"/>
          <w:numId w:val="0"/>
        </w:numPr>
        <w:ind w:left="360"/>
        <w:jc w:val="both"/>
        <w:rPr>
          <w:rFonts w:ascii="Times New Roman" w:hAnsi="Times New Roman" w:cs="Times New Roman"/>
        </w:rPr>
      </w:pPr>
      <w:r>
        <w:rPr>
          <w:rFonts w:ascii="Times New Roman" w:hAnsi="Times New Roman" w:cs="Times New Roman"/>
          <w:smallCaps/>
        </w:rPr>
        <w:t>(</w:t>
      </w:r>
      <w:hyperlink r:id="rId16" w:history="1">
        <w:r w:rsidRPr="00A33E95">
          <w:rPr>
            <w:rStyle w:val="Lienhypertexte"/>
            <w:rFonts w:ascii="Times New Roman" w:hAnsi="Times New Roman" w:cs="Times New Roman"/>
          </w:rPr>
          <w:t>http://trade.ec.europa.eu/doclib/docs/2015/may/tradoc_153456.pdf</w:t>
        </w:r>
      </w:hyperlink>
      <w:r>
        <w:rPr>
          <w:rFonts w:ascii="Times New Roman" w:hAnsi="Times New Roman" w:cs="Times New Roman"/>
        </w:rPr>
        <w:t>) le 12 décembre 2015.</w:t>
      </w:r>
    </w:p>
    <w:p w14:paraId="3B6D9B83" w14:textId="77777777" w:rsidR="00D33340" w:rsidRPr="00F52272" w:rsidRDefault="00D33340" w:rsidP="00D33340">
      <w:pPr>
        <w:pStyle w:val="Listepuces"/>
        <w:numPr>
          <w:ilvl w:val="0"/>
          <w:numId w:val="0"/>
        </w:numPr>
        <w:ind w:left="360"/>
        <w:jc w:val="both"/>
        <w:rPr>
          <w:rFonts w:ascii="Times New Roman" w:hAnsi="Times New Roman" w:cs="Times New Roman"/>
          <w:sz w:val="10"/>
        </w:rPr>
      </w:pPr>
    </w:p>
    <w:p w14:paraId="76F3CDB9"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smallCaps/>
        </w:rPr>
        <w:t>Commission européenne, 2015</w:t>
      </w:r>
      <w:r>
        <w:rPr>
          <w:rFonts w:ascii="Times New Roman" w:hAnsi="Times New Roman" w:cs="Times New Roman"/>
        </w:rPr>
        <w:t>b</w:t>
      </w:r>
      <w:r>
        <w:rPr>
          <w:rFonts w:ascii="Times New Roman" w:hAnsi="Times New Roman" w:cs="Times New Roman"/>
          <w:smallCaps/>
        </w:rPr>
        <w:t xml:space="preserve">, </w:t>
      </w:r>
      <w:r w:rsidRPr="00F52272">
        <w:rPr>
          <w:rFonts w:ascii="Times New Roman" w:hAnsi="Times New Roman" w:cs="Times New Roman"/>
          <w:i/>
        </w:rPr>
        <w:t>Proposition sur la protection des investissements, le règlement des différends en matière d’investissements et le système juridictionnel des investissements dans le cadre du TTIP</w:t>
      </w:r>
      <w:r>
        <w:rPr>
          <w:rFonts w:ascii="Times New Roman" w:hAnsi="Times New Roman" w:cs="Times New Roman"/>
          <w:i/>
        </w:rPr>
        <w:t xml:space="preserve">, </w:t>
      </w:r>
      <w:r>
        <w:rPr>
          <w:rFonts w:ascii="Times New Roman" w:hAnsi="Times New Roman" w:cs="Times New Roman"/>
        </w:rPr>
        <w:t>16 septembre. Consulté sur internet</w:t>
      </w:r>
    </w:p>
    <w:p w14:paraId="022829F2" w14:textId="77777777" w:rsidR="00D33340" w:rsidRPr="00F52272" w:rsidRDefault="00D33340" w:rsidP="00D33340">
      <w:pPr>
        <w:pStyle w:val="Listepuces"/>
        <w:numPr>
          <w:ilvl w:val="0"/>
          <w:numId w:val="0"/>
        </w:numPr>
        <w:ind w:left="360" w:hanging="360"/>
        <w:jc w:val="both"/>
        <w:rPr>
          <w:rFonts w:ascii="Times New Roman" w:hAnsi="Times New Roman" w:cs="Times New Roman"/>
          <w:smallCaps/>
        </w:rPr>
      </w:pPr>
      <w:r>
        <w:rPr>
          <w:rFonts w:ascii="Times New Roman" w:hAnsi="Times New Roman" w:cs="Times New Roman"/>
        </w:rPr>
        <w:tab/>
        <w:t>(</w:t>
      </w:r>
      <w:hyperlink r:id="rId17" w:history="1">
        <w:r w:rsidRPr="00A33E95">
          <w:rPr>
            <w:rStyle w:val="Lienhypertexte"/>
            <w:rFonts w:ascii="Times New Roman" w:hAnsi="Times New Roman" w:cs="Times New Roman"/>
          </w:rPr>
          <w:t>http://trade.ec.europa.eu/doclib/docs/2015/september/tradoc_153807.pdf</w:t>
        </w:r>
      </w:hyperlink>
      <w:r>
        <w:rPr>
          <w:rFonts w:ascii="Times New Roman" w:hAnsi="Times New Roman" w:cs="Times New Roman"/>
        </w:rPr>
        <w:t>) le 12 décembre 2015.</w:t>
      </w:r>
    </w:p>
    <w:p w14:paraId="59DDE694" w14:textId="77777777" w:rsidR="00D33340" w:rsidRPr="00074088" w:rsidRDefault="00D33340" w:rsidP="00D33340">
      <w:pPr>
        <w:pStyle w:val="Listepuces"/>
        <w:numPr>
          <w:ilvl w:val="0"/>
          <w:numId w:val="0"/>
        </w:numPr>
        <w:ind w:left="360" w:hanging="360"/>
        <w:jc w:val="both"/>
        <w:rPr>
          <w:rFonts w:ascii="Times New Roman" w:hAnsi="Times New Roman" w:cs="Times New Roman"/>
          <w:smallCaps/>
          <w:sz w:val="10"/>
        </w:rPr>
      </w:pPr>
    </w:p>
    <w:p w14:paraId="30E3A86A"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smallCaps/>
        </w:rPr>
        <w:t xml:space="preserve">Conseil européen, 2012, </w:t>
      </w:r>
      <w:r>
        <w:rPr>
          <w:rFonts w:ascii="Times New Roman" w:hAnsi="Times New Roman" w:cs="Times New Roman"/>
          <w:i/>
        </w:rPr>
        <w:t xml:space="preserve">CETA Landing Zones, </w:t>
      </w:r>
      <w:r>
        <w:rPr>
          <w:rFonts w:ascii="Times New Roman" w:hAnsi="Times New Roman" w:cs="Times New Roman"/>
        </w:rPr>
        <w:t>6 novembre. Consulté sur internet</w:t>
      </w:r>
    </w:p>
    <w:p w14:paraId="28C0C386"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rPr>
        <w:tab/>
        <w:t>(</w:t>
      </w:r>
      <w:hyperlink r:id="rId18" w:history="1">
        <w:r w:rsidRPr="00A33E95">
          <w:rPr>
            <w:rStyle w:val="Lienhypertexte"/>
            <w:rFonts w:ascii="Times New Roman" w:hAnsi="Times New Roman" w:cs="Times New Roman"/>
          </w:rPr>
          <w:t>http://www.lapresse.ca/html/1633/Document_UE_2.pdf</w:t>
        </w:r>
      </w:hyperlink>
      <w:r>
        <w:rPr>
          <w:rFonts w:ascii="Times New Roman" w:hAnsi="Times New Roman" w:cs="Times New Roman"/>
        </w:rPr>
        <w:t>) le 12 décembre 2015.</w:t>
      </w:r>
    </w:p>
    <w:p w14:paraId="0619BD6E" w14:textId="77777777" w:rsidR="00D33340" w:rsidRPr="004B37D1" w:rsidRDefault="00D33340" w:rsidP="00D33340">
      <w:pPr>
        <w:pStyle w:val="Listepuces"/>
        <w:numPr>
          <w:ilvl w:val="0"/>
          <w:numId w:val="0"/>
        </w:numPr>
        <w:ind w:left="360" w:hanging="360"/>
        <w:jc w:val="both"/>
        <w:rPr>
          <w:rFonts w:ascii="Times New Roman" w:hAnsi="Times New Roman" w:cs="Times New Roman"/>
          <w:sz w:val="10"/>
        </w:rPr>
      </w:pPr>
    </w:p>
    <w:p w14:paraId="2484DEF5"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smallCaps/>
        </w:rPr>
        <w:t xml:space="preserve">Parlement européen, </w:t>
      </w:r>
      <w:r>
        <w:rPr>
          <w:rFonts w:ascii="Times New Roman" w:hAnsi="Times New Roman" w:cs="Times New Roman"/>
        </w:rPr>
        <w:t xml:space="preserve">2011, </w:t>
      </w:r>
      <w:r w:rsidRPr="00074088">
        <w:rPr>
          <w:rFonts w:ascii="Times New Roman" w:hAnsi="Times New Roman" w:cs="Times New Roman"/>
          <w:i/>
        </w:rPr>
        <w:t>Rapport sur la future politique européenne en matière d’investissements internationaux</w:t>
      </w:r>
      <w:r>
        <w:rPr>
          <w:rFonts w:ascii="Times New Roman" w:hAnsi="Times New Roman" w:cs="Times New Roman"/>
          <w:i/>
        </w:rPr>
        <w:t xml:space="preserve">, </w:t>
      </w:r>
      <w:r>
        <w:rPr>
          <w:rFonts w:ascii="Times New Roman" w:hAnsi="Times New Roman" w:cs="Times New Roman"/>
        </w:rPr>
        <w:t>22 mars. Consulté sur internet</w:t>
      </w:r>
    </w:p>
    <w:p w14:paraId="186A271C" w14:textId="77777777" w:rsidR="00D33340" w:rsidRDefault="00D33340" w:rsidP="00F07A74">
      <w:pPr>
        <w:pStyle w:val="Listepuces"/>
        <w:numPr>
          <w:ilvl w:val="0"/>
          <w:numId w:val="0"/>
        </w:numPr>
        <w:ind w:left="360"/>
        <w:jc w:val="both"/>
        <w:rPr>
          <w:rFonts w:ascii="Times New Roman" w:hAnsi="Times New Roman" w:cs="Times New Roman"/>
        </w:rPr>
      </w:pPr>
      <w:r>
        <w:rPr>
          <w:rFonts w:ascii="Times New Roman" w:hAnsi="Times New Roman" w:cs="Times New Roman"/>
        </w:rPr>
        <w:t>(</w:t>
      </w:r>
      <w:hyperlink r:id="rId19" w:history="1">
        <w:r w:rsidRPr="00A33E95">
          <w:rPr>
            <w:rStyle w:val="Lienhypertexte"/>
            <w:rFonts w:ascii="Times New Roman" w:hAnsi="Times New Roman" w:cs="Times New Roman"/>
          </w:rPr>
          <w:t>http://www.europarl.europa.eu/sides/getDoc.do?pubRef=-//EP//TEXT+REPORT+A7-2011-0070+0+DOC+XML+V0//FR</w:t>
        </w:r>
      </w:hyperlink>
      <w:r>
        <w:rPr>
          <w:rFonts w:ascii="Times New Roman" w:hAnsi="Times New Roman" w:cs="Times New Roman"/>
        </w:rPr>
        <w:t>) le 12 décembre 2015.</w:t>
      </w:r>
    </w:p>
    <w:p w14:paraId="0EBE3BB1" w14:textId="77777777" w:rsidR="00F07A74" w:rsidRPr="00F07A74" w:rsidRDefault="00F07A74" w:rsidP="00F07A74">
      <w:pPr>
        <w:pStyle w:val="Listepuces"/>
        <w:numPr>
          <w:ilvl w:val="0"/>
          <w:numId w:val="0"/>
        </w:numPr>
        <w:ind w:left="360"/>
        <w:jc w:val="both"/>
        <w:rPr>
          <w:rFonts w:ascii="Times New Roman" w:hAnsi="Times New Roman" w:cs="Times New Roman"/>
          <w:sz w:val="10"/>
        </w:rPr>
      </w:pPr>
    </w:p>
    <w:p w14:paraId="22F27183" w14:textId="7B5661C8" w:rsidR="00F07A74" w:rsidRDefault="00F07A74"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smallCaps/>
        </w:rPr>
        <w:t xml:space="preserve">United States Trade </w:t>
      </w:r>
      <w:proofErr w:type="spellStart"/>
      <w:r>
        <w:rPr>
          <w:rFonts w:ascii="Times New Roman" w:hAnsi="Times New Roman" w:cs="Times New Roman"/>
          <w:smallCaps/>
        </w:rPr>
        <w:t>Representative</w:t>
      </w:r>
      <w:proofErr w:type="spellEnd"/>
      <w:r>
        <w:rPr>
          <w:rFonts w:ascii="Times New Roman" w:hAnsi="Times New Roman" w:cs="Times New Roman"/>
          <w:smallCaps/>
        </w:rPr>
        <w:t xml:space="preserve">, </w:t>
      </w:r>
      <w:r>
        <w:rPr>
          <w:rFonts w:ascii="Times New Roman" w:hAnsi="Times New Roman" w:cs="Times New Roman"/>
        </w:rPr>
        <w:t xml:space="preserve">2003, </w:t>
      </w:r>
      <w:proofErr w:type="spellStart"/>
      <w:r>
        <w:rPr>
          <w:rFonts w:ascii="Times New Roman" w:hAnsi="Times New Roman" w:cs="Times New Roman"/>
          <w:i/>
        </w:rPr>
        <w:t>Side</w:t>
      </w:r>
      <w:proofErr w:type="spellEnd"/>
      <w:r>
        <w:rPr>
          <w:rFonts w:ascii="Times New Roman" w:hAnsi="Times New Roman" w:cs="Times New Roman"/>
          <w:i/>
        </w:rPr>
        <w:t xml:space="preserve"> </w:t>
      </w:r>
      <w:proofErr w:type="spellStart"/>
      <w:r>
        <w:rPr>
          <w:rFonts w:ascii="Times New Roman" w:hAnsi="Times New Roman" w:cs="Times New Roman"/>
          <w:i/>
        </w:rPr>
        <w:t>letter</w:t>
      </w:r>
      <w:proofErr w:type="spellEnd"/>
      <w:r>
        <w:rPr>
          <w:rFonts w:ascii="Times New Roman" w:hAnsi="Times New Roman" w:cs="Times New Roman"/>
          <w:i/>
        </w:rPr>
        <w:t xml:space="preserve"> on expropriation, </w:t>
      </w:r>
      <w:r>
        <w:rPr>
          <w:rFonts w:ascii="Times New Roman" w:hAnsi="Times New Roman" w:cs="Times New Roman"/>
        </w:rPr>
        <w:t>6 mai. Consulté sur internet</w:t>
      </w:r>
    </w:p>
    <w:p w14:paraId="3BF23197" w14:textId="2538CA86" w:rsidR="00F07A74" w:rsidRPr="00F07A74" w:rsidRDefault="00F07A74"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rPr>
        <w:tab/>
        <w:t>(</w:t>
      </w:r>
      <w:hyperlink r:id="rId20" w:history="1">
        <w:r w:rsidRPr="00EB1FFA">
          <w:rPr>
            <w:rStyle w:val="Lienhypertexte"/>
            <w:rFonts w:ascii="Times New Roman" w:hAnsi="Times New Roman" w:cs="Times New Roman"/>
          </w:rPr>
          <w:t>https://ustr.gov/sites/default/files/uploads/agreements/fta/singapore/asset_upload_file58_4058.pdf</w:t>
        </w:r>
      </w:hyperlink>
      <w:r>
        <w:rPr>
          <w:rFonts w:ascii="Times New Roman" w:hAnsi="Times New Roman" w:cs="Times New Roman"/>
        </w:rPr>
        <w:t>) le 12 décembre 2015.</w:t>
      </w:r>
    </w:p>
    <w:p w14:paraId="3B6B294D" w14:textId="77777777" w:rsidR="00D33340" w:rsidRDefault="00D33340" w:rsidP="00D33340">
      <w:pPr>
        <w:pStyle w:val="Listepuces"/>
        <w:numPr>
          <w:ilvl w:val="0"/>
          <w:numId w:val="0"/>
        </w:numPr>
        <w:ind w:left="360" w:hanging="360"/>
        <w:jc w:val="both"/>
        <w:rPr>
          <w:rFonts w:ascii="Times New Roman" w:hAnsi="Times New Roman" w:cs="Times New Roman"/>
        </w:rPr>
      </w:pPr>
    </w:p>
    <w:p w14:paraId="191C376E" w14:textId="77777777" w:rsidR="00D33340" w:rsidRDefault="00D33340" w:rsidP="00D33340">
      <w:pPr>
        <w:pStyle w:val="Listepuces"/>
        <w:numPr>
          <w:ilvl w:val="0"/>
          <w:numId w:val="0"/>
        </w:numPr>
        <w:ind w:left="360" w:hanging="360"/>
        <w:jc w:val="both"/>
        <w:rPr>
          <w:rFonts w:ascii="Times New Roman" w:hAnsi="Times New Roman" w:cs="Times New Roman"/>
          <w:smallCaps/>
          <w:sz w:val="28"/>
          <w:u w:val="single"/>
        </w:rPr>
      </w:pPr>
      <w:r>
        <w:rPr>
          <w:rFonts w:ascii="Times New Roman" w:hAnsi="Times New Roman" w:cs="Times New Roman"/>
          <w:smallCaps/>
          <w:sz w:val="28"/>
          <w:u w:val="single"/>
        </w:rPr>
        <w:lastRenderedPageBreak/>
        <w:t>Documentation d’organisation internationale</w:t>
      </w:r>
    </w:p>
    <w:p w14:paraId="6A87433C" w14:textId="77777777" w:rsidR="00D33340" w:rsidRDefault="00D33340" w:rsidP="00D33340">
      <w:pPr>
        <w:pStyle w:val="Listepuces"/>
        <w:numPr>
          <w:ilvl w:val="0"/>
          <w:numId w:val="0"/>
        </w:numPr>
        <w:ind w:left="360" w:hanging="360"/>
        <w:jc w:val="both"/>
        <w:rPr>
          <w:rFonts w:ascii="Times New Roman" w:hAnsi="Times New Roman" w:cs="Times New Roman"/>
        </w:rPr>
      </w:pPr>
      <w:r>
        <w:rPr>
          <w:rFonts w:ascii="Times New Roman" w:hAnsi="Times New Roman" w:cs="Times New Roman"/>
          <w:smallCaps/>
        </w:rPr>
        <w:t xml:space="preserve">Organisation de coopération et de développement économique, 2008, </w:t>
      </w:r>
      <w:r w:rsidRPr="004B5B2E">
        <w:rPr>
          <w:rFonts w:ascii="Times New Roman" w:hAnsi="Times New Roman" w:cs="Times New Roman"/>
          <w:i/>
        </w:rPr>
        <w:t xml:space="preserve">International </w:t>
      </w:r>
      <w:proofErr w:type="spellStart"/>
      <w:r w:rsidRPr="004B5B2E">
        <w:rPr>
          <w:rFonts w:ascii="Times New Roman" w:hAnsi="Times New Roman" w:cs="Times New Roman"/>
          <w:i/>
        </w:rPr>
        <w:t>Investment</w:t>
      </w:r>
      <w:proofErr w:type="spellEnd"/>
      <w:r w:rsidRPr="004B5B2E">
        <w:rPr>
          <w:rFonts w:ascii="Times New Roman" w:hAnsi="Times New Roman" w:cs="Times New Roman"/>
          <w:i/>
        </w:rPr>
        <w:t xml:space="preserve"> Law: </w:t>
      </w:r>
      <w:proofErr w:type="spellStart"/>
      <w:r w:rsidRPr="004B5B2E">
        <w:rPr>
          <w:rFonts w:ascii="Times New Roman" w:hAnsi="Times New Roman" w:cs="Times New Roman"/>
          <w:i/>
        </w:rPr>
        <w:t>Understanding</w:t>
      </w:r>
      <w:proofErr w:type="spellEnd"/>
      <w:r w:rsidRPr="004B5B2E">
        <w:rPr>
          <w:rFonts w:ascii="Times New Roman" w:hAnsi="Times New Roman" w:cs="Times New Roman"/>
          <w:i/>
        </w:rPr>
        <w:t xml:space="preserve"> Concepts and </w:t>
      </w:r>
      <w:proofErr w:type="spellStart"/>
      <w:r w:rsidRPr="004B5B2E">
        <w:rPr>
          <w:rFonts w:ascii="Times New Roman" w:hAnsi="Times New Roman" w:cs="Times New Roman"/>
          <w:i/>
        </w:rPr>
        <w:t>Tracking</w:t>
      </w:r>
      <w:proofErr w:type="spellEnd"/>
      <w:r w:rsidRPr="004B5B2E">
        <w:rPr>
          <w:rFonts w:ascii="Times New Roman" w:hAnsi="Times New Roman" w:cs="Times New Roman"/>
          <w:i/>
        </w:rPr>
        <w:t xml:space="preserve"> Innovations</w:t>
      </w:r>
      <w:r>
        <w:rPr>
          <w:rFonts w:ascii="Times New Roman" w:hAnsi="Times New Roman" w:cs="Times New Roman"/>
          <w:i/>
        </w:rPr>
        <w:t xml:space="preserve">, </w:t>
      </w:r>
      <w:r>
        <w:rPr>
          <w:rFonts w:ascii="Times New Roman" w:hAnsi="Times New Roman" w:cs="Times New Roman"/>
        </w:rPr>
        <w:t>17 mars. Consulté sur internet</w:t>
      </w:r>
    </w:p>
    <w:p w14:paraId="622B518D" w14:textId="77777777" w:rsidR="00D33340" w:rsidRPr="004B5B2E" w:rsidRDefault="00D33340" w:rsidP="00D33340">
      <w:pPr>
        <w:pStyle w:val="Listepuces"/>
        <w:numPr>
          <w:ilvl w:val="0"/>
          <w:numId w:val="0"/>
        </w:numPr>
        <w:ind w:left="360" w:hanging="360"/>
        <w:jc w:val="both"/>
        <w:rPr>
          <w:rFonts w:ascii="Times New Roman" w:hAnsi="Times New Roman" w:cs="Times New Roman"/>
          <w:smallCaps/>
        </w:rPr>
      </w:pPr>
      <w:r>
        <w:rPr>
          <w:rFonts w:ascii="Times New Roman" w:hAnsi="Times New Roman" w:cs="Times New Roman"/>
        </w:rPr>
        <w:tab/>
        <w:t>(</w:t>
      </w:r>
      <w:hyperlink r:id="rId21" w:history="1">
        <w:r w:rsidRPr="00A33E95">
          <w:rPr>
            <w:rStyle w:val="Lienhypertexte"/>
            <w:rFonts w:ascii="Times New Roman" w:hAnsi="Times New Roman" w:cs="Times New Roman"/>
          </w:rPr>
          <w:t>http://www.oecd.org/investment/internationalinvestmentagreements/internationalinvestmentlawunderstandingconceptsandtrackinginnovations.htm</w:t>
        </w:r>
      </w:hyperlink>
      <w:r>
        <w:rPr>
          <w:rFonts w:ascii="Times New Roman" w:hAnsi="Times New Roman" w:cs="Times New Roman"/>
        </w:rPr>
        <w:t>) le 12 décembre 2015.</w:t>
      </w:r>
    </w:p>
    <w:p w14:paraId="32E4789F" w14:textId="77777777" w:rsidR="00D33340" w:rsidRDefault="00D33340" w:rsidP="00D33340">
      <w:pPr>
        <w:pStyle w:val="Listepuces"/>
        <w:numPr>
          <w:ilvl w:val="0"/>
          <w:numId w:val="0"/>
        </w:numPr>
        <w:ind w:left="360" w:hanging="360"/>
        <w:jc w:val="both"/>
        <w:rPr>
          <w:rFonts w:ascii="Times New Roman" w:hAnsi="Times New Roman" w:cs="Times New Roman"/>
          <w:smallCaps/>
          <w:sz w:val="28"/>
          <w:u w:val="single"/>
        </w:rPr>
      </w:pPr>
    </w:p>
    <w:p w14:paraId="5DDB11F1" w14:textId="77777777" w:rsidR="00F07A74" w:rsidRDefault="00F07A74" w:rsidP="00D33340">
      <w:pPr>
        <w:pStyle w:val="Listepuces"/>
        <w:numPr>
          <w:ilvl w:val="0"/>
          <w:numId w:val="0"/>
        </w:numPr>
        <w:ind w:left="360" w:hanging="360"/>
        <w:jc w:val="both"/>
        <w:rPr>
          <w:rFonts w:ascii="Times New Roman" w:hAnsi="Times New Roman" w:cs="Times New Roman"/>
          <w:smallCaps/>
          <w:sz w:val="28"/>
          <w:u w:val="single"/>
        </w:rPr>
      </w:pPr>
    </w:p>
    <w:p w14:paraId="42FF793E" w14:textId="384C4343" w:rsidR="00F07A74" w:rsidRDefault="00D33340" w:rsidP="00F07A74">
      <w:pPr>
        <w:pStyle w:val="Listepuces"/>
        <w:numPr>
          <w:ilvl w:val="0"/>
          <w:numId w:val="0"/>
        </w:numPr>
        <w:ind w:left="360" w:hanging="360"/>
        <w:jc w:val="both"/>
        <w:rPr>
          <w:rFonts w:ascii="Times New Roman" w:hAnsi="Times New Roman" w:cs="Times New Roman"/>
          <w:i/>
        </w:rPr>
      </w:pPr>
      <w:r w:rsidRPr="00E36FBA">
        <w:rPr>
          <w:rFonts w:ascii="Times New Roman" w:hAnsi="Times New Roman" w:cs="Times New Roman"/>
          <w:smallCaps/>
          <w:sz w:val="28"/>
          <w:u w:val="single"/>
        </w:rPr>
        <w:t>Convention internationale</w:t>
      </w:r>
    </w:p>
    <w:p w14:paraId="12B77B47" w14:textId="77777777" w:rsidR="00D33340" w:rsidRDefault="00D33340" w:rsidP="00D33340">
      <w:pPr>
        <w:pStyle w:val="Listepuces"/>
        <w:numPr>
          <w:ilvl w:val="0"/>
          <w:numId w:val="0"/>
        </w:numPr>
        <w:ind w:left="360" w:hanging="360"/>
        <w:jc w:val="both"/>
        <w:rPr>
          <w:rFonts w:ascii="Times New Roman" w:hAnsi="Times New Roman" w:cs="Times New Roman"/>
        </w:rPr>
      </w:pPr>
      <w:r w:rsidRPr="001E167E">
        <w:rPr>
          <w:rFonts w:ascii="Times New Roman" w:hAnsi="Times New Roman" w:cs="Times New Roman"/>
          <w:i/>
          <w:smallCaps/>
        </w:rPr>
        <w:t>Convention de Vienne sur le droit des traités</w:t>
      </w:r>
      <w:r>
        <w:rPr>
          <w:rFonts w:ascii="Times New Roman" w:hAnsi="Times New Roman" w:cs="Times New Roman"/>
          <w:smallCaps/>
        </w:rPr>
        <w:t xml:space="preserve">, 23 </w:t>
      </w:r>
      <w:r>
        <w:rPr>
          <w:rFonts w:ascii="Times New Roman" w:hAnsi="Times New Roman" w:cs="Times New Roman"/>
        </w:rPr>
        <w:t xml:space="preserve">mai 1969, 1155 RTNU 331 (entrée en vigueur : 27 janvier 1980). </w:t>
      </w:r>
    </w:p>
    <w:p w14:paraId="35AE3995" w14:textId="77777777" w:rsidR="00D33340" w:rsidRDefault="00D33340" w:rsidP="00F07A74">
      <w:pPr>
        <w:pStyle w:val="Listepuces"/>
        <w:numPr>
          <w:ilvl w:val="0"/>
          <w:numId w:val="0"/>
        </w:numPr>
        <w:jc w:val="both"/>
        <w:rPr>
          <w:rFonts w:ascii="Times New Roman" w:hAnsi="Times New Roman" w:cs="Times New Roman"/>
        </w:rPr>
      </w:pPr>
    </w:p>
    <w:p w14:paraId="5585B74F" w14:textId="77777777" w:rsidR="00D33340" w:rsidRPr="00D33340" w:rsidRDefault="00D33340" w:rsidP="00D33340">
      <w:pPr>
        <w:pStyle w:val="Listepuces"/>
        <w:numPr>
          <w:ilvl w:val="0"/>
          <w:numId w:val="0"/>
        </w:numPr>
        <w:ind w:left="360" w:hanging="360"/>
        <w:jc w:val="both"/>
        <w:rPr>
          <w:rFonts w:ascii="Times New Roman" w:hAnsi="Times New Roman" w:cs="Times New Roman"/>
          <w:smallCaps/>
          <w:sz w:val="28"/>
          <w:u w:val="single"/>
          <w:lang w:val="en-CA"/>
        </w:rPr>
      </w:pPr>
      <w:r w:rsidRPr="00D33340">
        <w:rPr>
          <w:rFonts w:ascii="Times New Roman" w:hAnsi="Times New Roman" w:cs="Times New Roman"/>
          <w:smallCaps/>
          <w:sz w:val="28"/>
          <w:u w:val="single"/>
          <w:lang w:val="en-CA"/>
        </w:rPr>
        <w:t>Jurisprudence internationale</w:t>
      </w:r>
    </w:p>
    <w:p w14:paraId="05D64671"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i/>
          <w:smallCaps/>
          <w:lang w:val="en-CA"/>
        </w:rPr>
        <w:t>Abaclat</w:t>
      </w:r>
      <w:proofErr w:type="spellEnd"/>
      <w:r w:rsidRPr="00D33340">
        <w:rPr>
          <w:rFonts w:ascii="Times New Roman" w:hAnsi="Times New Roman" w:cs="Times New Roman"/>
          <w:i/>
          <w:smallCaps/>
          <w:lang w:val="en-CA"/>
        </w:rPr>
        <w:t xml:space="preserve"> and Others v The Republic of Argentina</w:t>
      </w:r>
      <w:r w:rsidRPr="00D33340">
        <w:rPr>
          <w:rFonts w:ascii="Times New Roman" w:hAnsi="Times New Roman" w:cs="Times New Roman"/>
          <w:smallCaps/>
          <w:lang w:val="en-CA"/>
        </w:rPr>
        <w:t xml:space="preserve"> (2011), </w:t>
      </w:r>
      <w:r w:rsidRPr="00D33340">
        <w:rPr>
          <w:rFonts w:ascii="Times New Roman" w:hAnsi="Times New Roman" w:cs="Times New Roman"/>
          <w:i/>
          <w:lang w:val="en-CA"/>
        </w:rPr>
        <w:t xml:space="preserve">Decision on jurisdiction and admissibility, ICSID Case No. ARB/07/5 </w:t>
      </w:r>
      <w:r w:rsidRPr="00D33340">
        <w:rPr>
          <w:rFonts w:ascii="Times New Roman" w:hAnsi="Times New Roman" w:cs="Times New Roman"/>
          <w:lang w:val="en-CA"/>
        </w:rPr>
        <w:t>(International Center for Settlement of Investment Disputes).</w:t>
      </w:r>
    </w:p>
    <w:p w14:paraId="08591061" w14:textId="77777777" w:rsidR="00D33340" w:rsidRPr="00D33340" w:rsidRDefault="00D33340" w:rsidP="00D33340">
      <w:pPr>
        <w:pStyle w:val="Listepuces"/>
        <w:numPr>
          <w:ilvl w:val="0"/>
          <w:numId w:val="0"/>
        </w:numPr>
        <w:ind w:left="360" w:hanging="360"/>
        <w:jc w:val="both"/>
        <w:rPr>
          <w:rFonts w:ascii="Times New Roman" w:hAnsi="Times New Roman" w:cs="Times New Roman"/>
          <w:smallCaps/>
          <w:sz w:val="10"/>
          <w:lang w:val="en-CA"/>
        </w:rPr>
      </w:pPr>
    </w:p>
    <w:p w14:paraId="5BD61CF9"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Affaire de la Barcelona Traction, Light and Power Company Limited</w:t>
      </w:r>
      <w:r w:rsidRPr="00D33340">
        <w:rPr>
          <w:rFonts w:ascii="Times New Roman" w:hAnsi="Times New Roman" w:cs="Times New Roman"/>
          <w:smallCaps/>
          <w:lang w:val="en-CA"/>
        </w:rPr>
        <w:t xml:space="preserve"> (</w:t>
      </w:r>
      <w:proofErr w:type="spellStart"/>
      <w:r w:rsidRPr="00D33340">
        <w:rPr>
          <w:rFonts w:ascii="Times New Roman" w:hAnsi="Times New Roman" w:cs="Times New Roman"/>
          <w:smallCaps/>
          <w:lang w:val="en-CA"/>
        </w:rPr>
        <w:t>Belgique</w:t>
      </w:r>
      <w:proofErr w:type="spellEnd"/>
      <w:r w:rsidRPr="00D33340">
        <w:rPr>
          <w:rFonts w:ascii="Times New Roman" w:hAnsi="Times New Roman" w:cs="Times New Roman"/>
          <w:smallCaps/>
          <w:lang w:val="en-CA"/>
        </w:rPr>
        <w:t xml:space="preserve"> c. </w:t>
      </w:r>
      <w:proofErr w:type="spellStart"/>
      <w:r w:rsidRPr="00D33340">
        <w:rPr>
          <w:rFonts w:ascii="Times New Roman" w:hAnsi="Times New Roman" w:cs="Times New Roman"/>
          <w:smallCaps/>
          <w:lang w:val="en-CA"/>
        </w:rPr>
        <w:t>Espagne</w:t>
      </w:r>
      <w:proofErr w:type="spellEnd"/>
      <w:r w:rsidRPr="00D33340">
        <w:rPr>
          <w:rFonts w:ascii="Times New Roman" w:hAnsi="Times New Roman" w:cs="Times New Roman"/>
          <w:smallCaps/>
          <w:lang w:val="en-CA"/>
        </w:rPr>
        <w:t xml:space="preserve">), </w:t>
      </w:r>
      <w:proofErr w:type="spellStart"/>
      <w:r w:rsidRPr="00D33340">
        <w:rPr>
          <w:rFonts w:ascii="Times New Roman" w:hAnsi="Times New Roman" w:cs="Times New Roman"/>
          <w:lang w:val="en-CA"/>
        </w:rPr>
        <w:t>Arrêt</w:t>
      </w:r>
      <w:proofErr w:type="spellEnd"/>
      <w:r w:rsidRPr="00D33340">
        <w:rPr>
          <w:rFonts w:ascii="Times New Roman" w:hAnsi="Times New Roman" w:cs="Times New Roman"/>
          <w:lang w:val="en-CA"/>
        </w:rPr>
        <w:t xml:space="preserve">, </w:t>
      </w:r>
      <w:r w:rsidRPr="00D33340">
        <w:rPr>
          <w:rFonts w:asciiTheme="majorBidi" w:hAnsiTheme="majorBidi" w:cstheme="majorBidi"/>
          <w:lang w:val="en-CA"/>
        </w:rPr>
        <w:t xml:space="preserve">C.I.J. </w:t>
      </w:r>
      <w:proofErr w:type="spellStart"/>
      <w:r w:rsidRPr="00D33340">
        <w:rPr>
          <w:rFonts w:asciiTheme="majorBidi" w:hAnsiTheme="majorBidi" w:cstheme="majorBidi"/>
          <w:lang w:val="en-CA"/>
        </w:rPr>
        <w:t>Recueil</w:t>
      </w:r>
      <w:proofErr w:type="spellEnd"/>
      <w:r w:rsidRPr="00D33340">
        <w:rPr>
          <w:rFonts w:asciiTheme="majorBidi" w:hAnsiTheme="majorBidi" w:cstheme="majorBidi"/>
          <w:lang w:val="en-CA"/>
        </w:rPr>
        <w:t xml:space="preserve"> 1970</w:t>
      </w:r>
      <w:r w:rsidRPr="00D33340">
        <w:rPr>
          <w:rFonts w:ascii="Times New Roman" w:hAnsi="Times New Roman" w:cs="Times New Roman"/>
          <w:lang w:val="en-CA"/>
        </w:rPr>
        <w:t>, p.3.</w:t>
      </w:r>
    </w:p>
    <w:p w14:paraId="40225E17"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18065D6"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 xml:space="preserve">Asian Agricultural Products Ltd. v Republic of Sri Lanka </w:t>
      </w:r>
      <w:r w:rsidRPr="00D33340">
        <w:rPr>
          <w:rFonts w:ascii="Times New Roman" w:hAnsi="Times New Roman" w:cs="Times New Roman"/>
          <w:smallCaps/>
          <w:lang w:val="en-CA"/>
        </w:rPr>
        <w:t xml:space="preserve">(1990), </w:t>
      </w:r>
      <w:r w:rsidRPr="00D33340">
        <w:rPr>
          <w:rFonts w:ascii="Times New Roman" w:hAnsi="Times New Roman" w:cs="Times New Roman"/>
          <w:i/>
          <w:lang w:val="en-CA"/>
        </w:rPr>
        <w:t xml:space="preserve">Award on the merits, ICSID ARB/87/3 </w:t>
      </w:r>
      <w:r w:rsidRPr="00D33340">
        <w:rPr>
          <w:rFonts w:ascii="Times New Roman" w:hAnsi="Times New Roman" w:cs="Times New Roman"/>
          <w:lang w:val="en-CA"/>
        </w:rPr>
        <w:t>(International Center for Settlement of Investment Disputes).</w:t>
      </w:r>
    </w:p>
    <w:p w14:paraId="35CF6F2D"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DECE096"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5370A3D9"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 xml:space="preserve">CMS Gas Transmission Company v The Republic of Argentina </w:t>
      </w:r>
      <w:r w:rsidRPr="00D33340">
        <w:rPr>
          <w:rFonts w:ascii="Times New Roman" w:hAnsi="Times New Roman" w:cs="Times New Roman"/>
          <w:lang w:val="en-CA"/>
        </w:rPr>
        <w:t xml:space="preserve">(2005), </w:t>
      </w:r>
      <w:r w:rsidRPr="00D33340">
        <w:rPr>
          <w:rFonts w:ascii="Times New Roman" w:hAnsi="Times New Roman" w:cs="Times New Roman"/>
          <w:i/>
          <w:lang w:val="en-CA"/>
        </w:rPr>
        <w:t xml:space="preserve">Award on the Merits, ICSID Case No. ARB/01/8 1 </w:t>
      </w:r>
      <w:r w:rsidRPr="00D33340">
        <w:rPr>
          <w:rFonts w:ascii="Times New Roman" w:hAnsi="Times New Roman" w:cs="Times New Roman"/>
          <w:lang w:val="en-CA"/>
        </w:rPr>
        <w:t>(International Center for Settlement of Investment Disputes).</w:t>
      </w:r>
    </w:p>
    <w:p w14:paraId="234A8F01"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7E5CE4AA"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i/>
          <w:smallCaps/>
          <w:lang w:val="en-CA"/>
        </w:rPr>
        <w:t>Compañiá</w:t>
      </w:r>
      <w:proofErr w:type="spellEnd"/>
      <w:r w:rsidRPr="00D33340">
        <w:rPr>
          <w:rFonts w:ascii="Times New Roman" w:hAnsi="Times New Roman" w:cs="Times New Roman"/>
          <w:i/>
          <w:smallCaps/>
          <w:lang w:val="en-CA"/>
        </w:rPr>
        <w:t xml:space="preserve"> de </w:t>
      </w:r>
      <w:proofErr w:type="spellStart"/>
      <w:r w:rsidRPr="00D33340">
        <w:rPr>
          <w:rFonts w:ascii="Times New Roman" w:hAnsi="Times New Roman" w:cs="Times New Roman"/>
          <w:i/>
          <w:smallCaps/>
          <w:lang w:val="en-CA"/>
        </w:rPr>
        <w:t>Aguas</w:t>
      </w:r>
      <w:proofErr w:type="spellEnd"/>
      <w:r w:rsidRPr="00D33340">
        <w:rPr>
          <w:rFonts w:ascii="Times New Roman" w:hAnsi="Times New Roman" w:cs="Times New Roman"/>
          <w:i/>
          <w:smallCaps/>
          <w:lang w:val="en-CA"/>
        </w:rPr>
        <w:t xml:space="preserve"> del </w:t>
      </w:r>
      <w:proofErr w:type="spellStart"/>
      <w:r w:rsidRPr="00D33340">
        <w:rPr>
          <w:rFonts w:ascii="Times New Roman" w:hAnsi="Times New Roman" w:cs="Times New Roman"/>
          <w:i/>
          <w:smallCaps/>
          <w:lang w:val="en-CA"/>
        </w:rPr>
        <w:t>Aconquija</w:t>
      </w:r>
      <w:proofErr w:type="spellEnd"/>
      <w:r w:rsidRPr="00D33340">
        <w:rPr>
          <w:rFonts w:ascii="Times New Roman" w:hAnsi="Times New Roman" w:cs="Times New Roman"/>
          <w:i/>
          <w:smallCaps/>
          <w:lang w:val="en-CA"/>
        </w:rPr>
        <w:t xml:space="preserve"> S.A. and Vivendi Universal S.A. v The Republic of Argentina</w:t>
      </w:r>
      <w:r w:rsidRPr="00D33340">
        <w:rPr>
          <w:rFonts w:ascii="Times New Roman" w:hAnsi="Times New Roman" w:cs="Times New Roman"/>
          <w:smallCaps/>
          <w:lang w:val="en-CA"/>
        </w:rPr>
        <w:t xml:space="preserve"> (2007)</w:t>
      </w:r>
      <w:proofErr w:type="gramStart"/>
      <w:r w:rsidRPr="00D33340">
        <w:rPr>
          <w:rFonts w:ascii="Times New Roman" w:hAnsi="Times New Roman" w:cs="Times New Roman"/>
          <w:smallCaps/>
          <w:lang w:val="en-CA"/>
        </w:rPr>
        <w:t xml:space="preserve">, </w:t>
      </w:r>
      <w:r w:rsidRPr="00D33340">
        <w:rPr>
          <w:rFonts w:ascii="Times New Roman" w:hAnsi="Times New Roman" w:cs="Times New Roman"/>
          <w:i/>
          <w:lang w:val="en-CA"/>
        </w:rPr>
        <w:t xml:space="preserve"> Award</w:t>
      </w:r>
      <w:proofErr w:type="gramEnd"/>
      <w:r w:rsidRPr="00D33340">
        <w:rPr>
          <w:rFonts w:ascii="Times New Roman" w:hAnsi="Times New Roman" w:cs="Times New Roman"/>
          <w:i/>
          <w:lang w:val="en-CA"/>
        </w:rPr>
        <w:t xml:space="preserve"> on the merits, ICSID Case No. ARB/97/3 </w:t>
      </w:r>
      <w:r w:rsidRPr="00D33340">
        <w:rPr>
          <w:rFonts w:ascii="Times New Roman" w:hAnsi="Times New Roman" w:cs="Times New Roman"/>
          <w:lang w:val="en-CA"/>
        </w:rPr>
        <w:t>(International Center for Settlement of Investment Disputes).</w:t>
      </w:r>
    </w:p>
    <w:p w14:paraId="4CBD3CA7"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12CCA5EB"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 xml:space="preserve">Emilio </w:t>
      </w:r>
      <w:proofErr w:type="spellStart"/>
      <w:r w:rsidRPr="00D33340">
        <w:rPr>
          <w:rFonts w:ascii="Times New Roman" w:hAnsi="Times New Roman" w:cs="Times New Roman"/>
          <w:i/>
          <w:smallCaps/>
          <w:lang w:val="en-CA"/>
        </w:rPr>
        <w:t>Agustín</w:t>
      </w:r>
      <w:proofErr w:type="spellEnd"/>
      <w:r w:rsidRPr="00D33340">
        <w:rPr>
          <w:rFonts w:ascii="Times New Roman" w:hAnsi="Times New Roman" w:cs="Times New Roman"/>
          <w:i/>
          <w:smallCaps/>
          <w:lang w:val="en-CA"/>
        </w:rPr>
        <w:t xml:space="preserve"> </w:t>
      </w:r>
      <w:proofErr w:type="spellStart"/>
      <w:r w:rsidRPr="00D33340">
        <w:rPr>
          <w:rFonts w:ascii="Times New Roman" w:hAnsi="Times New Roman" w:cs="Times New Roman"/>
          <w:i/>
          <w:smallCaps/>
          <w:lang w:val="en-CA"/>
        </w:rPr>
        <w:t>Maffezini</w:t>
      </w:r>
      <w:proofErr w:type="spellEnd"/>
      <w:r w:rsidRPr="00D33340">
        <w:rPr>
          <w:rFonts w:ascii="Times New Roman" w:hAnsi="Times New Roman" w:cs="Times New Roman"/>
          <w:i/>
          <w:smallCaps/>
          <w:lang w:val="en-CA"/>
        </w:rPr>
        <w:t xml:space="preserve"> v. The Kingdom of Spain </w:t>
      </w:r>
      <w:r w:rsidRPr="00D33340">
        <w:rPr>
          <w:rFonts w:ascii="Times New Roman" w:hAnsi="Times New Roman" w:cs="Times New Roman"/>
          <w:smallCaps/>
          <w:lang w:val="en-CA"/>
        </w:rPr>
        <w:t xml:space="preserve">(2000), </w:t>
      </w:r>
      <w:r w:rsidRPr="00D33340">
        <w:rPr>
          <w:rFonts w:ascii="Times New Roman" w:hAnsi="Times New Roman" w:cs="Times New Roman"/>
          <w:i/>
          <w:lang w:val="en-CA"/>
        </w:rPr>
        <w:t xml:space="preserve">Decision on jurisdiction, ICSID Case No. ARB/97/7  </w:t>
      </w:r>
      <w:r w:rsidRPr="00D33340">
        <w:rPr>
          <w:rFonts w:ascii="Times New Roman" w:hAnsi="Times New Roman" w:cs="Times New Roman"/>
          <w:lang w:val="en-CA"/>
        </w:rPr>
        <w:t>(International Center for Settlement of Investment Disputes).</w:t>
      </w:r>
    </w:p>
    <w:p w14:paraId="5005D447"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0AAD9292" w14:textId="77777777" w:rsidR="00D33340" w:rsidRPr="008979BD"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 xml:space="preserve">LG&amp;E Energy Corp., LG&amp;E Capital Corp., and LG&amp;E International, Inc. v The Republic of Argentina </w:t>
      </w:r>
      <w:r w:rsidRPr="00D33340">
        <w:rPr>
          <w:rFonts w:ascii="Times New Roman" w:hAnsi="Times New Roman" w:cs="Times New Roman"/>
          <w:smallCaps/>
          <w:lang w:val="en-CA"/>
        </w:rPr>
        <w:t xml:space="preserve">(2006), </w:t>
      </w:r>
      <w:r w:rsidRPr="00D33340">
        <w:rPr>
          <w:rFonts w:ascii="Times New Roman" w:hAnsi="Times New Roman" w:cs="Times New Roman"/>
          <w:i/>
          <w:lang w:val="en-CA"/>
        </w:rPr>
        <w:t xml:space="preserve">Award on the Merits, </w:t>
      </w:r>
      <w:r w:rsidRPr="00D33340">
        <w:rPr>
          <w:rFonts w:ascii="Times New Roman" w:hAnsi="Times New Roman" w:cs="Times New Roman"/>
          <w:i/>
          <w:smallCaps/>
          <w:lang w:val="en-CA"/>
        </w:rPr>
        <w:t xml:space="preserve">ICSID </w:t>
      </w:r>
      <w:r w:rsidRPr="00D33340">
        <w:rPr>
          <w:rFonts w:ascii="Times New Roman" w:hAnsi="Times New Roman" w:cs="Times New Roman"/>
          <w:i/>
          <w:lang w:val="en-CA"/>
        </w:rPr>
        <w:t xml:space="preserve">Case No. </w:t>
      </w:r>
      <w:r w:rsidRPr="008979BD">
        <w:rPr>
          <w:rFonts w:ascii="Times New Roman" w:hAnsi="Times New Roman" w:cs="Times New Roman"/>
          <w:i/>
          <w:lang w:val="en-CA"/>
        </w:rPr>
        <w:t xml:space="preserve">ARB/02/1 </w:t>
      </w:r>
      <w:r w:rsidRPr="008979BD">
        <w:rPr>
          <w:rFonts w:ascii="Times New Roman" w:hAnsi="Times New Roman" w:cs="Times New Roman"/>
          <w:lang w:val="en-CA"/>
        </w:rPr>
        <w:t>(International Center for Settlement of Investment Disputes).</w:t>
      </w:r>
    </w:p>
    <w:p w14:paraId="3FDC984C" w14:textId="77777777" w:rsidR="00D33340" w:rsidRPr="008979BD" w:rsidRDefault="00D33340" w:rsidP="00D33340">
      <w:pPr>
        <w:pStyle w:val="Listepuces"/>
        <w:numPr>
          <w:ilvl w:val="0"/>
          <w:numId w:val="0"/>
        </w:numPr>
        <w:ind w:left="360" w:hanging="360"/>
        <w:jc w:val="both"/>
        <w:rPr>
          <w:rFonts w:ascii="Times New Roman" w:hAnsi="Times New Roman" w:cs="Times New Roman"/>
          <w:sz w:val="10"/>
          <w:lang w:val="en-CA"/>
        </w:rPr>
      </w:pPr>
    </w:p>
    <w:p w14:paraId="0CCB6A5D"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436240">
        <w:rPr>
          <w:rFonts w:ascii="Times New Roman" w:hAnsi="Times New Roman" w:cs="Times New Roman"/>
          <w:i/>
          <w:smallCaps/>
          <w:lang w:val="en-CA"/>
        </w:rPr>
        <w:t>Metalclad</w:t>
      </w:r>
      <w:proofErr w:type="spellEnd"/>
      <w:r w:rsidRPr="00436240">
        <w:rPr>
          <w:rFonts w:ascii="Times New Roman" w:hAnsi="Times New Roman" w:cs="Times New Roman"/>
          <w:i/>
          <w:smallCaps/>
          <w:lang w:val="en-CA"/>
        </w:rPr>
        <w:t xml:space="preserve"> v The United </w:t>
      </w:r>
      <w:proofErr w:type="gramStart"/>
      <w:r w:rsidRPr="00436240">
        <w:rPr>
          <w:rFonts w:ascii="Times New Roman" w:hAnsi="Times New Roman" w:cs="Times New Roman"/>
          <w:i/>
          <w:smallCaps/>
          <w:lang w:val="en-CA"/>
        </w:rPr>
        <w:t>Mexican States</w:t>
      </w:r>
      <w:proofErr w:type="gramEnd"/>
      <w:r w:rsidRPr="00436240">
        <w:rPr>
          <w:rFonts w:ascii="Times New Roman" w:hAnsi="Times New Roman" w:cs="Times New Roman"/>
          <w:i/>
          <w:smallCaps/>
          <w:lang w:val="en-CA"/>
        </w:rPr>
        <w:t xml:space="preserve"> </w:t>
      </w:r>
      <w:r w:rsidRPr="00436240">
        <w:rPr>
          <w:rFonts w:ascii="Times New Roman" w:hAnsi="Times New Roman" w:cs="Times New Roman"/>
          <w:smallCaps/>
          <w:lang w:val="en-CA"/>
        </w:rPr>
        <w:t xml:space="preserve">(2000), </w:t>
      </w:r>
      <w:r w:rsidRPr="00436240">
        <w:rPr>
          <w:rFonts w:ascii="Times New Roman" w:hAnsi="Times New Roman" w:cs="Times New Roman"/>
          <w:i/>
          <w:lang w:val="en-CA"/>
        </w:rPr>
        <w:t xml:space="preserve">Award on the Merits, ICSID Case No. </w:t>
      </w:r>
      <w:proofErr w:type="gramStart"/>
      <w:r w:rsidRPr="00D33340">
        <w:rPr>
          <w:rFonts w:ascii="Times New Roman" w:hAnsi="Times New Roman" w:cs="Times New Roman"/>
          <w:i/>
          <w:lang w:val="en-CA"/>
        </w:rPr>
        <w:t>ARB(</w:t>
      </w:r>
      <w:proofErr w:type="gramEnd"/>
      <w:r w:rsidRPr="00D33340">
        <w:rPr>
          <w:rFonts w:ascii="Times New Roman" w:hAnsi="Times New Roman" w:cs="Times New Roman"/>
          <w:i/>
          <w:lang w:val="en-CA"/>
        </w:rPr>
        <w:t xml:space="preserve">AF)/97/1 </w:t>
      </w:r>
      <w:r w:rsidRPr="00D33340">
        <w:rPr>
          <w:rFonts w:ascii="Times New Roman" w:hAnsi="Times New Roman" w:cs="Times New Roman"/>
          <w:lang w:val="en-CA"/>
        </w:rPr>
        <w:t>(International Center for Settlement of Investment Disputes).</w:t>
      </w:r>
    </w:p>
    <w:p w14:paraId="72BC2196" w14:textId="77777777" w:rsidR="00D33340" w:rsidRPr="00D33340" w:rsidRDefault="00D33340" w:rsidP="00D33340">
      <w:pPr>
        <w:pStyle w:val="Listepuces"/>
        <w:numPr>
          <w:ilvl w:val="0"/>
          <w:numId w:val="0"/>
        </w:numPr>
        <w:ind w:left="360" w:hanging="360"/>
        <w:jc w:val="both"/>
        <w:rPr>
          <w:rFonts w:ascii="Times New Roman" w:hAnsi="Times New Roman" w:cs="Times New Roman"/>
          <w:smallCaps/>
          <w:sz w:val="10"/>
          <w:lang w:val="en-CA"/>
        </w:rPr>
      </w:pPr>
    </w:p>
    <w:p w14:paraId="36617359"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 xml:space="preserve">Occidental Petroleum Corporation and Occidental Exploration and Production Company v The Republic of Ecuador </w:t>
      </w:r>
      <w:r w:rsidRPr="00D33340">
        <w:rPr>
          <w:rFonts w:ascii="Times New Roman" w:hAnsi="Times New Roman" w:cs="Times New Roman"/>
          <w:lang w:val="en-CA"/>
        </w:rPr>
        <w:t xml:space="preserve">(2012), </w:t>
      </w:r>
      <w:r w:rsidRPr="00D33340">
        <w:rPr>
          <w:rFonts w:ascii="Times New Roman" w:hAnsi="Times New Roman" w:cs="Times New Roman"/>
          <w:i/>
          <w:lang w:val="en-CA"/>
        </w:rPr>
        <w:t xml:space="preserve">Award on the merits, ICSID Case No. ARB/06/11 </w:t>
      </w:r>
      <w:r w:rsidRPr="00D33340">
        <w:rPr>
          <w:rFonts w:ascii="Times New Roman" w:hAnsi="Times New Roman" w:cs="Times New Roman"/>
          <w:lang w:val="en-CA"/>
        </w:rPr>
        <w:t>(International Center for Settlement of Investment Disputes).</w:t>
      </w:r>
    </w:p>
    <w:p w14:paraId="539300E9" w14:textId="77777777" w:rsidR="00D33340" w:rsidRPr="00D33340" w:rsidRDefault="00D33340" w:rsidP="00D33340">
      <w:pPr>
        <w:pStyle w:val="Listepuces"/>
        <w:numPr>
          <w:ilvl w:val="0"/>
          <w:numId w:val="0"/>
        </w:numPr>
        <w:ind w:left="360" w:hanging="360"/>
        <w:jc w:val="both"/>
        <w:rPr>
          <w:rFonts w:ascii="Times New Roman" w:hAnsi="Times New Roman" w:cs="Times New Roman"/>
          <w:smallCaps/>
          <w:sz w:val="10"/>
          <w:lang w:val="en-CA"/>
        </w:rPr>
      </w:pPr>
    </w:p>
    <w:p w14:paraId="4996D3D8"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 xml:space="preserve">Philip Morris Asia Limited v The Commonwealth of Australia </w:t>
      </w:r>
      <w:r w:rsidRPr="00D33340">
        <w:rPr>
          <w:rFonts w:ascii="Times New Roman" w:hAnsi="Times New Roman" w:cs="Times New Roman"/>
          <w:smallCaps/>
          <w:lang w:val="en-CA"/>
        </w:rPr>
        <w:t xml:space="preserve">(2011), </w:t>
      </w:r>
      <w:r w:rsidRPr="00D33340">
        <w:rPr>
          <w:rFonts w:ascii="Times New Roman" w:hAnsi="Times New Roman" w:cs="Times New Roman"/>
          <w:i/>
          <w:lang w:val="en-CA"/>
        </w:rPr>
        <w:t xml:space="preserve">Notice of claim, PCA Case No. 2012-12 </w:t>
      </w:r>
      <w:r w:rsidRPr="00D33340">
        <w:rPr>
          <w:rFonts w:ascii="Times New Roman" w:hAnsi="Times New Roman" w:cs="Times New Roman"/>
          <w:lang w:val="en-CA"/>
        </w:rPr>
        <w:t xml:space="preserve">(Permanent Court of Arbitrage). </w:t>
      </w:r>
    </w:p>
    <w:p w14:paraId="3A49E035"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3F2B29D2"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Pope &amp; Talbot Inc. v The Government of Canada</w:t>
      </w:r>
      <w:r w:rsidRPr="00D33340">
        <w:rPr>
          <w:rFonts w:ascii="Times New Roman" w:hAnsi="Times New Roman" w:cs="Times New Roman"/>
          <w:smallCaps/>
          <w:lang w:val="en-CA"/>
        </w:rPr>
        <w:t xml:space="preserve"> (2001), </w:t>
      </w:r>
      <w:r w:rsidRPr="00D33340">
        <w:rPr>
          <w:rFonts w:ascii="Times New Roman" w:hAnsi="Times New Roman" w:cs="Times New Roman"/>
          <w:i/>
          <w:lang w:val="en-CA"/>
        </w:rPr>
        <w:t xml:space="preserve">Award on the Merits, UNCITRAL </w:t>
      </w:r>
      <w:r w:rsidRPr="00D33340">
        <w:rPr>
          <w:rFonts w:ascii="Times New Roman" w:hAnsi="Times New Roman" w:cs="Times New Roman"/>
          <w:lang w:val="en-CA"/>
        </w:rPr>
        <w:t>(United Nations Commission on International Trade Law).</w:t>
      </w:r>
    </w:p>
    <w:p w14:paraId="75F02B96"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19C51294"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i/>
          <w:smallCaps/>
          <w:lang w:val="en-CA"/>
        </w:rPr>
        <w:lastRenderedPageBreak/>
        <w:t>Salini</w:t>
      </w:r>
      <w:proofErr w:type="spellEnd"/>
      <w:r w:rsidRPr="00D33340">
        <w:rPr>
          <w:rFonts w:ascii="Times New Roman" w:hAnsi="Times New Roman" w:cs="Times New Roman"/>
          <w:i/>
          <w:smallCaps/>
          <w:lang w:val="en-CA"/>
        </w:rPr>
        <w:t xml:space="preserve"> </w:t>
      </w:r>
      <w:proofErr w:type="spellStart"/>
      <w:r w:rsidRPr="00D33340">
        <w:rPr>
          <w:rFonts w:ascii="Times New Roman" w:hAnsi="Times New Roman" w:cs="Times New Roman"/>
          <w:i/>
          <w:smallCaps/>
          <w:lang w:val="en-CA"/>
        </w:rPr>
        <w:t>Costruttori</w:t>
      </w:r>
      <w:proofErr w:type="spellEnd"/>
      <w:r w:rsidRPr="00D33340">
        <w:rPr>
          <w:rFonts w:ascii="Times New Roman" w:hAnsi="Times New Roman" w:cs="Times New Roman"/>
          <w:i/>
          <w:smallCaps/>
          <w:lang w:val="en-CA"/>
        </w:rPr>
        <w:t xml:space="preserve"> </w:t>
      </w:r>
      <w:proofErr w:type="spellStart"/>
      <w:r w:rsidRPr="00D33340">
        <w:rPr>
          <w:rFonts w:ascii="Times New Roman" w:hAnsi="Times New Roman" w:cs="Times New Roman"/>
          <w:i/>
          <w:smallCaps/>
          <w:lang w:val="en-CA"/>
        </w:rPr>
        <w:t>S.p.A</w:t>
      </w:r>
      <w:proofErr w:type="spellEnd"/>
      <w:r w:rsidRPr="00D33340">
        <w:rPr>
          <w:rFonts w:ascii="Times New Roman" w:hAnsi="Times New Roman" w:cs="Times New Roman"/>
          <w:i/>
          <w:smallCaps/>
          <w:lang w:val="en-CA"/>
        </w:rPr>
        <w:t xml:space="preserve">. and </w:t>
      </w:r>
      <w:proofErr w:type="spellStart"/>
      <w:r w:rsidRPr="00D33340">
        <w:rPr>
          <w:rFonts w:ascii="Times New Roman" w:hAnsi="Times New Roman" w:cs="Times New Roman"/>
          <w:i/>
          <w:smallCaps/>
          <w:lang w:val="en-CA"/>
        </w:rPr>
        <w:t>Italstrade</w:t>
      </w:r>
      <w:proofErr w:type="spellEnd"/>
      <w:r w:rsidRPr="00D33340">
        <w:rPr>
          <w:rFonts w:ascii="Times New Roman" w:hAnsi="Times New Roman" w:cs="Times New Roman"/>
          <w:i/>
          <w:smallCaps/>
          <w:lang w:val="en-CA"/>
        </w:rPr>
        <w:t xml:space="preserve"> </w:t>
      </w:r>
      <w:proofErr w:type="spellStart"/>
      <w:r w:rsidRPr="00D33340">
        <w:rPr>
          <w:rFonts w:ascii="Times New Roman" w:hAnsi="Times New Roman" w:cs="Times New Roman"/>
          <w:i/>
          <w:smallCaps/>
          <w:lang w:val="en-CA"/>
        </w:rPr>
        <w:t>S.p.A</w:t>
      </w:r>
      <w:proofErr w:type="spellEnd"/>
      <w:r w:rsidRPr="00D33340">
        <w:rPr>
          <w:rFonts w:ascii="Times New Roman" w:hAnsi="Times New Roman" w:cs="Times New Roman"/>
          <w:i/>
          <w:smallCaps/>
          <w:lang w:val="en-CA"/>
        </w:rPr>
        <w:t>. v Kingdom of Morocco</w:t>
      </w:r>
      <w:r w:rsidRPr="00D33340">
        <w:rPr>
          <w:rFonts w:ascii="Times New Roman" w:hAnsi="Times New Roman" w:cs="Times New Roman"/>
          <w:smallCaps/>
          <w:lang w:val="en-CA"/>
        </w:rPr>
        <w:t xml:space="preserve"> (2001), </w:t>
      </w:r>
      <w:r w:rsidRPr="00D33340">
        <w:rPr>
          <w:rFonts w:ascii="Times New Roman" w:hAnsi="Times New Roman" w:cs="Times New Roman"/>
          <w:i/>
          <w:lang w:val="en-CA"/>
        </w:rPr>
        <w:t>Decision on jurisdiction, ICSID Case No. ARB/00/4 </w:t>
      </w:r>
      <w:r w:rsidRPr="00D33340">
        <w:rPr>
          <w:rFonts w:ascii="Times New Roman" w:hAnsi="Times New Roman" w:cs="Times New Roman"/>
          <w:lang w:val="en-CA"/>
        </w:rPr>
        <w:t>(International Center for Settlement of Investment Disputes).</w:t>
      </w:r>
    </w:p>
    <w:p w14:paraId="38667F9F" w14:textId="77777777" w:rsidR="00D33340" w:rsidRPr="00D33340" w:rsidRDefault="00D33340" w:rsidP="00D33340">
      <w:pPr>
        <w:pStyle w:val="Listepuces"/>
        <w:numPr>
          <w:ilvl w:val="0"/>
          <w:numId w:val="0"/>
        </w:numPr>
        <w:ind w:left="360" w:hanging="360"/>
        <w:jc w:val="both"/>
        <w:rPr>
          <w:rFonts w:ascii="Times New Roman" w:hAnsi="Times New Roman" w:cs="Times New Roman"/>
          <w:smallCaps/>
          <w:sz w:val="10"/>
          <w:lang w:val="en-CA"/>
        </w:rPr>
      </w:pPr>
      <w:r w:rsidRPr="00D33340">
        <w:rPr>
          <w:rFonts w:ascii="Times New Roman" w:hAnsi="Times New Roman" w:cs="Times New Roman"/>
          <w:i/>
          <w:smallCaps/>
          <w:lang w:val="en-CA"/>
        </w:rPr>
        <w:t xml:space="preserve"> </w:t>
      </w:r>
    </w:p>
    <w:p w14:paraId="4F3AD805"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 xml:space="preserve">S.D. Myers v The Government of Canada </w:t>
      </w:r>
      <w:r w:rsidRPr="00D33340">
        <w:rPr>
          <w:rFonts w:ascii="Times New Roman" w:hAnsi="Times New Roman" w:cs="Times New Roman"/>
          <w:smallCaps/>
          <w:lang w:val="en-CA"/>
        </w:rPr>
        <w:t xml:space="preserve">(2000), </w:t>
      </w:r>
      <w:r w:rsidRPr="00D33340">
        <w:rPr>
          <w:rFonts w:ascii="Times New Roman" w:hAnsi="Times New Roman" w:cs="Times New Roman"/>
          <w:i/>
          <w:lang w:val="en-CA"/>
        </w:rPr>
        <w:t xml:space="preserve">First Partial Award on the Merits, UNCITRAL </w:t>
      </w:r>
      <w:r w:rsidRPr="00D33340">
        <w:rPr>
          <w:rFonts w:ascii="Times New Roman" w:hAnsi="Times New Roman" w:cs="Times New Roman"/>
          <w:lang w:val="en-CA"/>
        </w:rPr>
        <w:t>(United Nations Commission on International Trade Law).</w:t>
      </w:r>
    </w:p>
    <w:p w14:paraId="1F7E08D1"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4124FAF7"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 xml:space="preserve">SGS </w:t>
      </w:r>
      <w:proofErr w:type="spellStart"/>
      <w:r w:rsidRPr="00D33340">
        <w:rPr>
          <w:rFonts w:ascii="Times New Roman" w:hAnsi="Times New Roman" w:cs="Times New Roman"/>
          <w:i/>
          <w:smallCaps/>
          <w:lang w:val="en-CA"/>
        </w:rPr>
        <w:t>Société</w:t>
      </w:r>
      <w:proofErr w:type="spellEnd"/>
      <w:r w:rsidRPr="00D33340">
        <w:rPr>
          <w:rFonts w:ascii="Times New Roman" w:hAnsi="Times New Roman" w:cs="Times New Roman"/>
          <w:i/>
          <w:smallCaps/>
          <w:lang w:val="en-CA"/>
        </w:rPr>
        <w:t xml:space="preserve"> </w:t>
      </w:r>
      <w:proofErr w:type="spellStart"/>
      <w:r w:rsidRPr="00D33340">
        <w:rPr>
          <w:rFonts w:ascii="Times New Roman" w:hAnsi="Times New Roman" w:cs="Times New Roman"/>
          <w:i/>
          <w:smallCaps/>
          <w:lang w:val="en-CA"/>
        </w:rPr>
        <w:t>Générale</w:t>
      </w:r>
      <w:proofErr w:type="spellEnd"/>
      <w:r w:rsidRPr="00D33340">
        <w:rPr>
          <w:rFonts w:ascii="Times New Roman" w:hAnsi="Times New Roman" w:cs="Times New Roman"/>
          <w:i/>
          <w:smallCaps/>
          <w:lang w:val="en-CA"/>
        </w:rPr>
        <w:t xml:space="preserve"> de Surveillance S.A. v Islamic Republic of Pakistan </w:t>
      </w:r>
      <w:r w:rsidRPr="00D33340">
        <w:rPr>
          <w:rFonts w:ascii="Times New Roman" w:hAnsi="Times New Roman" w:cs="Times New Roman"/>
          <w:smallCaps/>
          <w:lang w:val="en-CA"/>
        </w:rPr>
        <w:t xml:space="preserve">(2003), </w:t>
      </w:r>
      <w:r w:rsidRPr="00D33340">
        <w:rPr>
          <w:rFonts w:ascii="Times New Roman" w:hAnsi="Times New Roman" w:cs="Times New Roman"/>
          <w:i/>
          <w:lang w:val="en-CA"/>
        </w:rPr>
        <w:t xml:space="preserve">Award on the Merits, </w:t>
      </w:r>
      <w:r w:rsidRPr="00D33340">
        <w:rPr>
          <w:rFonts w:ascii="Times New Roman" w:hAnsi="Times New Roman" w:cs="Times New Roman"/>
          <w:i/>
          <w:smallCaps/>
          <w:lang w:val="en-CA"/>
        </w:rPr>
        <w:t xml:space="preserve">ICSID </w:t>
      </w:r>
      <w:r w:rsidRPr="00D33340">
        <w:rPr>
          <w:rFonts w:ascii="Times New Roman" w:hAnsi="Times New Roman" w:cs="Times New Roman"/>
          <w:i/>
          <w:lang w:val="en-CA"/>
        </w:rPr>
        <w:t xml:space="preserve">Case No. ARB/01/13 </w:t>
      </w:r>
      <w:r w:rsidRPr="00D33340">
        <w:rPr>
          <w:rFonts w:ascii="Times New Roman" w:hAnsi="Times New Roman" w:cs="Times New Roman"/>
          <w:lang w:val="en-CA"/>
        </w:rPr>
        <w:t>(International Center for Settlement of Investment Disputes).</w:t>
      </w:r>
    </w:p>
    <w:p w14:paraId="42BCA2AF"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59B9DBF4"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r w:rsidRPr="00D33340">
        <w:rPr>
          <w:rFonts w:ascii="Times New Roman" w:hAnsi="Times New Roman" w:cs="Times New Roman"/>
          <w:i/>
          <w:smallCaps/>
          <w:lang w:val="en-CA"/>
        </w:rPr>
        <w:t xml:space="preserve">SGS </w:t>
      </w:r>
      <w:proofErr w:type="spellStart"/>
      <w:r w:rsidRPr="00D33340">
        <w:rPr>
          <w:rFonts w:ascii="Times New Roman" w:hAnsi="Times New Roman" w:cs="Times New Roman"/>
          <w:i/>
          <w:smallCaps/>
          <w:lang w:val="en-CA"/>
        </w:rPr>
        <w:t>Société</w:t>
      </w:r>
      <w:proofErr w:type="spellEnd"/>
      <w:r w:rsidRPr="00D33340">
        <w:rPr>
          <w:rFonts w:ascii="Times New Roman" w:hAnsi="Times New Roman" w:cs="Times New Roman"/>
          <w:i/>
          <w:smallCaps/>
          <w:lang w:val="en-CA"/>
        </w:rPr>
        <w:t xml:space="preserve"> </w:t>
      </w:r>
      <w:proofErr w:type="spellStart"/>
      <w:r w:rsidRPr="00D33340">
        <w:rPr>
          <w:rFonts w:ascii="Times New Roman" w:hAnsi="Times New Roman" w:cs="Times New Roman"/>
          <w:i/>
          <w:smallCaps/>
          <w:lang w:val="en-CA"/>
        </w:rPr>
        <w:t>Générale</w:t>
      </w:r>
      <w:proofErr w:type="spellEnd"/>
      <w:r w:rsidRPr="00D33340">
        <w:rPr>
          <w:rFonts w:ascii="Times New Roman" w:hAnsi="Times New Roman" w:cs="Times New Roman"/>
          <w:i/>
          <w:smallCaps/>
          <w:lang w:val="en-CA"/>
        </w:rPr>
        <w:t xml:space="preserve"> de Surveillance S.A. v Republic of Philippines </w:t>
      </w:r>
      <w:r w:rsidRPr="00D33340">
        <w:rPr>
          <w:rFonts w:ascii="Times New Roman" w:hAnsi="Times New Roman" w:cs="Times New Roman"/>
          <w:smallCaps/>
          <w:lang w:val="en-CA"/>
        </w:rPr>
        <w:t xml:space="preserve">(2004), </w:t>
      </w:r>
      <w:r w:rsidRPr="00D33340">
        <w:rPr>
          <w:rFonts w:ascii="Times New Roman" w:hAnsi="Times New Roman" w:cs="Times New Roman"/>
          <w:i/>
          <w:lang w:val="en-CA"/>
        </w:rPr>
        <w:t xml:space="preserve">Award on the Merits, ICSID Case No. ARB/02/6 </w:t>
      </w:r>
      <w:r w:rsidRPr="00D33340">
        <w:rPr>
          <w:rFonts w:ascii="Times New Roman" w:hAnsi="Times New Roman" w:cs="Times New Roman"/>
          <w:lang w:val="en-CA"/>
        </w:rPr>
        <w:t>(International Center for Settlement of Investment Disputes).</w:t>
      </w:r>
    </w:p>
    <w:p w14:paraId="4A380B50" w14:textId="77777777" w:rsidR="00D33340" w:rsidRPr="00D33340" w:rsidRDefault="00D33340" w:rsidP="00D33340">
      <w:pPr>
        <w:pStyle w:val="Listepuces"/>
        <w:numPr>
          <w:ilvl w:val="0"/>
          <w:numId w:val="0"/>
        </w:numPr>
        <w:ind w:left="360" w:hanging="360"/>
        <w:jc w:val="both"/>
        <w:rPr>
          <w:rFonts w:ascii="Lato-Light" w:hAnsi="Lato-Light" w:cs="Lato-Light"/>
          <w:color w:val="3D434D"/>
          <w:sz w:val="10"/>
          <w:szCs w:val="32"/>
          <w:lang w:val="en-CA"/>
        </w:rPr>
      </w:pPr>
    </w:p>
    <w:p w14:paraId="6316D693"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i/>
          <w:smallCaps/>
          <w:lang w:val="en-CA"/>
        </w:rPr>
        <w:t>Tokio</w:t>
      </w:r>
      <w:proofErr w:type="spellEnd"/>
      <w:r w:rsidRPr="00D33340">
        <w:rPr>
          <w:rFonts w:ascii="Times New Roman" w:hAnsi="Times New Roman" w:cs="Times New Roman"/>
          <w:i/>
          <w:smallCaps/>
          <w:lang w:val="en-CA"/>
        </w:rPr>
        <w:t xml:space="preserve"> </w:t>
      </w:r>
      <w:proofErr w:type="spellStart"/>
      <w:r w:rsidRPr="00D33340">
        <w:rPr>
          <w:rFonts w:ascii="Times New Roman" w:hAnsi="Times New Roman" w:cs="Times New Roman"/>
          <w:i/>
          <w:smallCaps/>
          <w:lang w:val="en-CA"/>
        </w:rPr>
        <w:t>Tokéles</w:t>
      </w:r>
      <w:proofErr w:type="spellEnd"/>
      <w:r w:rsidRPr="00D33340">
        <w:rPr>
          <w:rFonts w:ascii="Times New Roman" w:hAnsi="Times New Roman" w:cs="Times New Roman"/>
          <w:i/>
          <w:smallCaps/>
          <w:lang w:val="en-CA"/>
        </w:rPr>
        <w:t xml:space="preserve"> v Ukraine </w:t>
      </w:r>
      <w:r w:rsidRPr="00D33340">
        <w:rPr>
          <w:rFonts w:ascii="Times New Roman" w:hAnsi="Times New Roman" w:cs="Times New Roman"/>
          <w:smallCaps/>
          <w:lang w:val="en-CA"/>
        </w:rPr>
        <w:t xml:space="preserve">(2004), </w:t>
      </w:r>
      <w:r w:rsidRPr="00D33340">
        <w:rPr>
          <w:rFonts w:ascii="Times New Roman" w:hAnsi="Times New Roman" w:cs="Times New Roman"/>
          <w:i/>
          <w:lang w:val="en-CA"/>
        </w:rPr>
        <w:t xml:space="preserve">Decision on jurisdiction, ICSID Case No. ARB/02/18 </w:t>
      </w:r>
      <w:r w:rsidRPr="00D33340">
        <w:rPr>
          <w:rFonts w:ascii="Times New Roman" w:hAnsi="Times New Roman" w:cs="Times New Roman"/>
          <w:lang w:val="en-CA"/>
        </w:rPr>
        <w:t>(International Center for Settlement of Investment Disputes).</w:t>
      </w:r>
    </w:p>
    <w:p w14:paraId="7E32AF6C"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7980C342" w14:textId="77777777" w:rsidR="00D33340" w:rsidRPr="00D33340" w:rsidRDefault="00D33340" w:rsidP="00D33340">
      <w:pPr>
        <w:pStyle w:val="Listepuces"/>
        <w:numPr>
          <w:ilvl w:val="0"/>
          <w:numId w:val="0"/>
        </w:numPr>
        <w:ind w:left="360" w:hanging="360"/>
        <w:jc w:val="both"/>
        <w:rPr>
          <w:rFonts w:ascii="Times New Roman" w:hAnsi="Times New Roman" w:cs="Times New Roman"/>
          <w:lang w:val="en-CA"/>
        </w:rPr>
      </w:pPr>
      <w:proofErr w:type="spellStart"/>
      <w:r w:rsidRPr="00D33340">
        <w:rPr>
          <w:rFonts w:ascii="Times New Roman" w:hAnsi="Times New Roman" w:cs="Times New Roman"/>
          <w:i/>
          <w:smallCaps/>
          <w:lang w:val="en-CA"/>
        </w:rPr>
        <w:t>Vattenfall</w:t>
      </w:r>
      <w:proofErr w:type="spellEnd"/>
      <w:r w:rsidRPr="00D33340">
        <w:rPr>
          <w:rFonts w:ascii="Times New Roman" w:hAnsi="Times New Roman" w:cs="Times New Roman"/>
          <w:i/>
          <w:smallCaps/>
          <w:lang w:val="en-CA"/>
        </w:rPr>
        <w:t xml:space="preserve"> AB and others v Federal Republic of Germany </w:t>
      </w:r>
      <w:r w:rsidRPr="00D33340">
        <w:rPr>
          <w:rFonts w:ascii="Times New Roman" w:hAnsi="Times New Roman" w:cs="Times New Roman"/>
          <w:smallCaps/>
          <w:lang w:val="en-CA"/>
        </w:rPr>
        <w:t xml:space="preserve">(2012), </w:t>
      </w:r>
      <w:r w:rsidRPr="00D33340">
        <w:rPr>
          <w:rFonts w:ascii="Times New Roman" w:hAnsi="Times New Roman" w:cs="Times New Roman"/>
          <w:i/>
          <w:lang w:val="en-CA"/>
        </w:rPr>
        <w:t xml:space="preserve">Notice of intent, ICSID Case No. ARB/12/12 </w:t>
      </w:r>
      <w:r w:rsidRPr="00D33340">
        <w:rPr>
          <w:rFonts w:ascii="Times New Roman" w:hAnsi="Times New Roman" w:cs="Times New Roman"/>
          <w:lang w:val="en-CA"/>
        </w:rPr>
        <w:t>(International Center for Settlement of Investment Disputes).</w:t>
      </w:r>
    </w:p>
    <w:p w14:paraId="5BCFB316" w14:textId="77777777" w:rsidR="00D33340" w:rsidRPr="00D33340" w:rsidRDefault="00D33340" w:rsidP="00D33340">
      <w:pPr>
        <w:pStyle w:val="Listepuces"/>
        <w:numPr>
          <w:ilvl w:val="0"/>
          <w:numId w:val="0"/>
        </w:numPr>
        <w:ind w:left="360" w:hanging="360"/>
        <w:jc w:val="both"/>
        <w:rPr>
          <w:rFonts w:ascii="Times New Roman" w:hAnsi="Times New Roman" w:cs="Times New Roman"/>
          <w:sz w:val="10"/>
          <w:lang w:val="en-CA"/>
        </w:rPr>
      </w:pPr>
    </w:p>
    <w:p w14:paraId="4A16336D" w14:textId="77777777" w:rsidR="00D33340" w:rsidRDefault="00D33340" w:rsidP="00D33340">
      <w:pPr>
        <w:pStyle w:val="Listepuces"/>
        <w:numPr>
          <w:ilvl w:val="0"/>
          <w:numId w:val="0"/>
        </w:numPr>
        <w:ind w:left="360" w:hanging="360"/>
        <w:jc w:val="both"/>
        <w:rPr>
          <w:rFonts w:ascii="Times New Roman" w:hAnsi="Times New Roman" w:cs="Times New Roman"/>
        </w:rPr>
      </w:pPr>
      <w:proofErr w:type="spellStart"/>
      <w:r w:rsidRPr="00D33340">
        <w:rPr>
          <w:rFonts w:ascii="Times New Roman" w:hAnsi="Times New Roman" w:cs="Times New Roman"/>
          <w:i/>
          <w:smallCaps/>
          <w:lang w:val="en-CA"/>
        </w:rPr>
        <w:t>Wintershall</w:t>
      </w:r>
      <w:proofErr w:type="spellEnd"/>
      <w:r w:rsidRPr="00D33340">
        <w:rPr>
          <w:rFonts w:ascii="Times New Roman" w:hAnsi="Times New Roman" w:cs="Times New Roman"/>
          <w:i/>
          <w:smallCaps/>
          <w:lang w:val="en-CA"/>
        </w:rPr>
        <w:t xml:space="preserve"> </w:t>
      </w:r>
      <w:proofErr w:type="spellStart"/>
      <w:r w:rsidRPr="00D33340">
        <w:rPr>
          <w:rFonts w:ascii="Times New Roman" w:hAnsi="Times New Roman" w:cs="Times New Roman"/>
          <w:i/>
          <w:smallCaps/>
          <w:lang w:val="en-CA"/>
        </w:rPr>
        <w:t>Aktiengesellschaft</w:t>
      </w:r>
      <w:proofErr w:type="spellEnd"/>
      <w:r w:rsidRPr="00D33340">
        <w:rPr>
          <w:rFonts w:ascii="Times New Roman" w:hAnsi="Times New Roman" w:cs="Times New Roman"/>
          <w:i/>
          <w:smallCaps/>
          <w:lang w:val="en-CA"/>
        </w:rPr>
        <w:t xml:space="preserve"> v The Republic of Argentina </w:t>
      </w:r>
      <w:r w:rsidRPr="00D33340">
        <w:rPr>
          <w:rFonts w:ascii="Times New Roman" w:hAnsi="Times New Roman" w:cs="Times New Roman"/>
          <w:smallCaps/>
          <w:lang w:val="en-CA"/>
        </w:rPr>
        <w:t xml:space="preserve">(2008), </w:t>
      </w:r>
      <w:r w:rsidRPr="00D33340">
        <w:rPr>
          <w:rFonts w:ascii="Times New Roman" w:hAnsi="Times New Roman" w:cs="Times New Roman"/>
          <w:i/>
          <w:lang w:val="en-CA"/>
        </w:rPr>
        <w:t xml:space="preserve">Award on the merits, ICSID Case No. </w:t>
      </w:r>
      <w:r w:rsidRPr="00837A9C">
        <w:rPr>
          <w:rFonts w:ascii="Times New Roman" w:hAnsi="Times New Roman" w:cs="Times New Roman"/>
          <w:i/>
          <w:lang w:val="fr-FR"/>
        </w:rPr>
        <w:t>ARB/04/14</w:t>
      </w:r>
      <w:r>
        <w:rPr>
          <w:rFonts w:ascii="Times New Roman" w:hAnsi="Times New Roman" w:cs="Times New Roman"/>
          <w:i/>
          <w:lang w:val="fr-FR"/>
        </w:rPr>
        <w:t xml:space="preserve"> </w:t>
      </w:r>
      <w:r>
        <w:rPr>
          <w:rFonts w:ascii="Times New Roman" w:hAnsi="Times New Roman" w:cs="Times New Roman"/>
        </w:rPr>
        <w:t xml:space="preserve">(International Center for </w:t>
      </w:r>
      <w:proofErr w:type="spellStart"/>
      <w:r>
        <w:rPr>
          <w:rFonts w:ascii="Times New Roman" w:hAnsi="Times New Roman" w:cs="Times New Roman"/>
        </w:rPr>
        <w:t>Settlement</w:t>
      </w:r>
      <w:proofErr w:type="spellEnd"/>
      <w:r>
        <w:rPr>
          <w:rFonts w:ascii="Times New Roman" w:hAnsi="Times New Roman" w:cs="Times New Roman"/>
        </w:rPr>
        <w:t xml:space="preserve"> of </w:t>
      </w:r>
      <w:proofErr w:type="spellStart"/>
      <w:r>
        <w:rPr>
          <w:rFonts w:ascii="Times New Roman" w:hAnsi="Times New Roman" w:cs="Times New Roman"/>
        </w:rPr>
        <w:t>Investment</w:t>
      </w:r>
      <w:proofErr w:type="spellEnd"/>
      <w:r>
        <w:rPr>
          <w:rFonts w:ascii="Times New Roman" w:hAnsi="Times New Roman" w:cs="Times New Roman"/>
        </w:rPr>
        <w:t xml:space="preserve"> Disputes).</w:t>
      </w:r>
    </w:p>
    <w:p w14:paraId="50BFADAB" w14:textId="77777777" w:rsidR="00D33340" w:rsidRPr="00837A9C" w:rsidRDefault="00D33340" w:rsidP="00D33340">
      <w:pPr>
        <w:pStyle w:val="Listepuces"/>
        <w:numPr>
          <w:ilvl w:val="0"/>
          <w:numId w:val="0"/>
        </w:numPr>
        <w:ind w:left="360" w:hanging="360"/>
        <w:jc w:val="both"/>
        <w:rPr>
          <w:rFonts w:ascii="Times New Roman" w:hAnsi="Times New Roman" w:cs="Times New Roman"/>
        </w:rPr>
      </w:pPr>
    </w:p>
    <w:p w14:paraId="75AADF27" w14:textId="77777777" w:rsidR="00D33340" w:rsidRPr="00B36C0E" w:rsidRDefault="00D33340" w:rsidP="00CE7241">
      <w:pPr>
        <w:spacing w:before="120" w:after="120" w:line="276" w:lineRule="auto"/>
        <w:jc w:val="both"/>
        <w:rPr>
          <w:rFonts w:ascii="Times New Roman" w:hAnsi="Times New Roman" w:cs="Times New Roman"/>
        </w:rPr>
      </w:pPr>
    </w:p>
    <w:p w14:paraId="2EA5420E" w14:textId="77777777" w:rsidR="00E250E0" w:rsidRPr="00B36C0E" w:rsidRDefault="00E250E0" w:rsidP="00CE7241">
      <w:pPr>
        <w:spacing w:before="120" w:after="120" w:line="276" w:lineRule="auto"/>
        <w:jc w:val="both"/>
        <w:rPr>
          <w:rFonts w:ascii="Times New Roman" w:hAnsi="Times New Roman" w:cs="Times New Roman"/>
        </w:rPr>
      </w:pPr>
    </w:p>
    <w:sectPr w:rsidR="00E250E0" w:rsidRPr="00B36C0E" w:rsidSect="00D61BE7">
      <w:footerReference w:type="default" r:id="rId22"/>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130A" w14:textId="77777777" w:rsidR="00E850F9" w:rsidRDefault="00E850F9" w:rsidP="008E6E30">
      <w:r>
        <w:separator/>
      </w:r>
    </w:p>
  </w:endnote>
  <w:endnote w:type="continuationSeparator" w:id="0">
    <w:p w14:paraId="759CA6E2" w14:textId="77777777" w:rsidR="00E850F9" w:rsidRDefault="00E850F9" w:rsidP="008E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at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D0DB" w14:textId="77777777" w:rsidR="00E850F9" w:rsidRDefault="00E850F9" w:rsidP="00DF1E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7228E6" w14:textId="77777777" w:rsidR="00E850F9" w:rsidRDefault="00E850F9" w:rsidP="00DF1EF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D6CA" w14:textId="76A9E418" w:rsidR="00E850F9" w:rsidRDefault="00E850F9" w:rsidP="003E0DF4">
    <w:pPr>
      <w:pStyle w:val="Pieddepage"/>
      <w:ind w:right="360"/>
      <w:jc w:val="right"/>
    </w:pPr>
  </w:p>
  <w:p w14:paraId="768DA6A3" w14:textId="77777777" w:rsidR="00E850F9" w:rsidRDefault="00E850F9" w:rsidP="00DF1EFB">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19540"/>
      <w:docPartObj>
        <w:docPartGallery w:val="Page Numbers (Bottom of Page)"/>
        <w:docPartUnique/>
      </w:docPartObj>
    </w:sdtPr>
    <w:sdtContent>
      <w:p w14:paraId="2C8CE9F3" w14:textId="77777777" w:rsidR="00E850F9" w:rsidRDefault="00E850F9" w:rsidP="003E0DF4">
        <w:pPr>
          <w:pStyle w:val="Pieddepage"/>
          <w:ind w:right="360"/>
          <w:jc w:val="right"/>
        </w:pPr>
        <w:r>
          <w:fldChar w:fldCharType="begin"/>
        </w:r>
        <w:r>
          <w:instrText>PAGE   \* MERGEFORMAT</w:instrText>
        </w:r>
        <w:r>
          <w:fldChar w:fldCharType="separate"/>
        </w:r>
        <w:r w:rsidR="00BA635C" w:rsidRPr="00BA635C">
          <w:rPr>
            <w:noProof/>
            <w:lang w:val="fr-FR"/>
          </w:rPr>
          <w:t>58</w:t>
        </w:r>
        <w:r>
          <w:fldChar w:fldCharType="end"/>
        </w:r>
      </w:p>
    </w:sdtContent>
  </w:sdt>
  <w:p w14:paraId="34F7DABB" w14:textId="77777777" w:rsidR="00E850F9" w:rsidRDefault="00E850F9" w:rsidP="00DF1EF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42A80" w14:textId="77777777" w:rsidR="00E850F9" w:rsidRDefault="00E850F9" w:rsidP="008E6E30">
      <w:r>
        <w:separator/>
      </w:r>
    </w:p>
  </w:footnote>
  <w:footnote w:type="continuationSeparator" w:id="0">
    <w:p w14:paraId="02B75FFF" w14:textId="77777777" w:rsidR="00E850F9" w:rsidRDefault="00E850F9" w:rsidP="008E6E30">
      <w:r>
        <w:continuationSeparator/>
      </w:r>
    </w:p>
  </w:footnote>
  <w:footnote w:id="1">
    <w:p w14:paraId="398CACA5" w14:textId="728440DC" w:rsidR="00E850F9" w:rsidRPr="00D43F31" w:rsidRDefault="00E850F9">
      <w:pPr>
        <w:pStyle w:val="Notedebasdepage"/>
        <w:rPr>
          <w:lang w:val="fr-FR"/>
        </w:rPr>
      </w:pPr>
      <w:r w:rsidRPr="00D43F31">
        <w:rPr>
          <w:rStyle w:val="Marquenotebasdepage"/>
          <w:sz w:val="20"/>
        </w:rPr>
        <w:footnoteRef/>
      </w:r>
      <w:r w:rsidRPr="00D43F31">
        <w:rPr>
          <w:sz w:val="20"/>
        </w:rPr>
        <w:t xml:space="preserve"> </w:t>
      </w:r>
      <w:r w:rsidRPr="00D43F31">
        <w:rPr>
          <w:sz w:val="20"/>
          <w:lang w:val="fr-FR"/>
        </w:rPr>
        <w:t xml:space="preserve">Pour une version du modèle d’accord </w:t>
      </w:r>
      <w:r>
        <w:rPr>
          <w:sz w:val="20"/>
          <w:lang w:val="fr-FR"/>
        </w:rPr>
        <w:t xml:space="preserve">autrichien de 2008, voir Brown </w:t>
      </w:r>
      <w:r w:rsidRPr="00D43F31">
        <w:rPr>
          <w:sz w:val="20"/>
          <w:lang w:val="fr-FR"/>
        </w:rPr>
        <w:t>2013.</w:t>
      </w:r>
    </w:p>
  </w:footnote>
  <w:footnote w:id="2">
    <w:p w14:paraId="2C28949A" w14:textId="3B9424AC" w:rsidR="00E850F9" w:rsidRPr="00A80C1E" w:rsidRDefault="00E850F9" w:rsidP="004F320A">
      <w:pPr>
        <w:pStyle w:val="Notedebasdepage"/>
        <w:jc w:val="both"/>
        <w:rPr>
          <w:lang w:val="fr-FR"/>
        </w:rPr>
      </w:pPr>
      <w:r w:rsidRPr="004F320A">
        <w:rPr>
          <w:rStyle w:val="Marquenotebasdepage"/>
          <w:sz w:val="20"/>
        </w:rPr>
        <w:footnoteRef/>
      </w:r>
      <w:r w:rsidRPr="004F320A">
        <w:rPr>
          <w:sz w:val="20"/>
        </w:rPr>
        <w:t xml:space="preserve"> </w:t>
      </w:r>
      <w:r w:rsidRPr="004F320A">
        <w:rPr>
          <w:sz w:val="20"/>
          <w:lang w:val="fr-FR"/>
        </w:rPr>
        <w:t>L’Angleterre, la France, l’Allemagne, l’Autriche, la Suisse, l’Italie et les Pays-Bas sont quelques exemples des pays européens à avoir développé des modèles d’accord sur l’investissement. Les États-Unis, le Canada, la Chine, la Russie et la Corée du Sud sont également du nombre des pays à avoir un tel modèle. Pour une analyse de ses modèles d’accord, voir : Brown 2013.</w:t>
      </w:r>
    </w:p>
  </w:footnote>
  <w:footnote w:id="3">
    <w:p w14:paraId="50FB8D8F" w14:textId="61912F37" w:rsidR="00E850F9" w:rsidRPr="00412991" w:rsidRDefault="00E850F9" w:rsidP="00412991">
      <w:pPr>
        <w:pStyle w:val="Notedebasdepage"/>
        <w:jc w:val="both"/>
        <w:rPr>
          <w:rFonts w:ascii="Times New Roman" w:hAnsi="Times New Roman" w:cs="Times New Roman"/>
          <w:i/>
          <w:sz w:val="20"/>
          <w:lang w:val="en-CA"/>
        </w:rPr>
      </w:pPr>
      <w:r w:rsidRPr="00F45FCA">
        <w:rPr>
          <w:rStyle w:val="Marquenotebasdepage"/>
          <w:rFonts w:ascii="Times New Roman" w:hAnsi="Times New Roman" w:cs="Times New Roman"/>
          <w:sz w:val="20"/>
        </w:rPr>
        <w:footnoteRef/>
      </w:r>
      <w:r w:rsidRPr="009817EA">
        <w:rPr>
          <w:rFonts w:ascii="Times New Roman" w:hAnsi="Times New Roman" w:cs="Times New Roman"/>
          <w:sz w:val="20"/>
          <w:lang w:val="en-CA"/>
        </w:rPr>
        <w:t xml:space="preserve"> </w:t>
      </w:r>
      <w:proofErr w:type="spellStart"/>
      <w:proofErr w:type="gramStart"/>
      <w:r w:rsidRPr="009817EA">
        <w:rPr>
          <w:rFonts w:ascii="Times New Roman" w:hAnsi="Times New Roman" w:cs="Times New Roman"/>
          <w:sz w:val="20"/>
          <w:lang w:val="en-CA"/>
        </w:rPr>
        <w:t>Voir</w:t>
      </w:r>
      <w:proofErr w:type="spellEnd"/>
      <w:r>
        <w:rPr>
          <w:rFonts w:ascii="Times New Roman" w:hAnsi="Times New Roman" w:cs="Times New Roman"/>
          <w:sz w:val="20"/>
          <w:lang w:val="en-CA"/>
        </w:rPr>
        <w:t xml:space="preserve"> p</w:t>
      </w:r>
      <w:r w:rsidRPr="009817EA">
        <w:rPr>
          <w:rFonts w:ascii="Times New Roman" w:hAnsi="Times New Roman" w:cs="Times New Roman"/>
          <w:sz w:val="20"/>
          <w:lang w:val="en-CA"/>
        </w:rPr>
        <w:t xml:space="preserve">ar </w:t>
      </w:r>
      <w:proofErr w:type="spellStart"/>
      <w:r w:rsidRPr="009817EA">
        <w:rPr>
          <w:rFonts w:ascii="Times New Roman" w:hAnsi="Times New Roman" w:cs="Times New Roman"/>
          <w:sz w:val="20"/>
          <w:lang w:val="en-CA"/>
        </w:rPr>
        <w:t>exemple</w:t>
      </w:r>
      <w:proofErr w:type="spellEnd"/>
      <w:r w:rsidRPr="009817EA">
        <w:rPr>
          <w:rFonts w:ascii="Times New Roman" w:hAnsi="Times New Roman" w:cs="Times New Roman"/>
          <w:sz w:val="20"/>
          <w:lang w:val="en-CA"/>
        </w:rPr>
        <w:t xml:space="preserve"> </w:t>
      </w:r>
      <w:proofErr w:type="spellStart"/>
      <w:r w:rsidRPr="009817EA">
        <w:rPr>
          <w:rFonts w:ascii="Times New Roman" w:hAnsi="Times New Roman" w:cs="Times New Roman"/>
          <w:sz w:val="20"/>
          <w:lang w:val="en-CA"/>
        </w:rPr>
        <w:t>l’affaire</w:t>
      </w:r>
      <w:proofErr w:type="spellEnd"/>
      <w:r w:rsidRPr="009817EA">
        <w:rPr>
          <w:rFonts w:ascii="Times New Roman" w:hAnsi="Times New Roman" w:cs="Times New Roman"/>
          <w:sz w:val="20"/>
          <w:lang w:val="en-CA"/>
        </w:rPr>
        <w:t xml:space="preserve"> </w:t>
      </w:r>
      <w:r w:rsidRPr="00412991">
        <w:rPr>
          <w:rFonts w:ascii="Times New Roman" w:hAnsi="Times New Roman" w:cs="Times New Roman"/>
          <w:i/>
          <w:sz w:val="20"/>
          <w:lang w:val="en-CA"/>
        </w:rPr>
        <w:t>Occidental Petroleum Corporation and Occidental Exploration and Production Company v The Republic of Ecuador (2012), Award on the merits, ICSID Case No.</w:t>
      </w:r>
      <w:proofErr w:type="gramEnd"/>
      <w:r w:rsidRPr="00412991">
        <w:rPr>
          <w:rFonts w:ascii="Times New Roman" w:hAnsi="Times New Roman" w:cs="Times New Roman"/>
          <w:i/>
          <w:sz w:val="20"/>
          <w:lang w:val="en-CA"/>
        </w:rPr>
        <w:t xml:space="preserve"> ARB/06/11 (International Center for Settlement of Investment Disputes)</w:t>
      </w:r>
    </w:p>
  </w:footnote>
  <w:footnote w:id="4">
    <w:p w14:paraId="4F84AE5A" w14:textId="3DE2C87A" w:rsidR="00E850F9" w:rsidRPr="004207DF" w:rsidRDefault="00E850F9" w:rsidP="004207DF">
      <w:pPr>
        <w:pStyle w:val="Notedebasdepage"/>
        <w:jc w:val="both"/>
        <w:rPr>
          <w:lang w:val="fr-FR"/>
        </w:rPr>
      </w:pPr>
      <w:r w:rsidRPr="004207DF">
        <w:rPr>
          <w:rStyle w:val="Marquenotebasdepage"/>
          <w:sz w:val="20"/>
        </w:rPr>
        <w:footnoteRef/>
      </w:r>
      <w:r w:rsidRPr="004207DF">
        <w:rPr>
          <w:sz w:val="20"/>
        </w:rPr>
        <w:t xml:space="preserve"> </w:t>
      </w:r>
      <w:r w:rsidRPr="004207DF">
        <w:rPr>
          <w:sz w:val="20"/>
          <w:lang w:val="fr-FR"/>
        </w:rPr>
        <w:t xml:space="preserve">Tel que cela a été discuté aux pages 32 et 33 du présent essai, il faudrait cependant voir si le clause parapluie donnerait lieu a un traitement </w:t>
      </w:r>
      <w:r w:rsidRPr="004207DF">
        <w:rPr>
          <w:i/>
          <w:sz w:val="20"/>
          <w:lang w:val="fr-FR"/>
        </w:rPr>
        <w:t xml:space="preserve">de facto </w:t>
      </w:r>
      <w:r w:rsidRPr="004207DF">
        <w:rPr>
          <w:sz w:val="20"/>
          <w:lang w:val="fr-FR"/>
        </w:rPr>
        <w:t xml:space="preserve">ou </w:t>
      </w:r>
      <w:r w:rsidRPr="004207DF">
        <w:rPr>
          <w:i/>
          <w:sz w:val="20"/>
          <w:lang w:val="fr-FR"/>
        </w:rPr>
        <w:t xml:space="preserve">de jure </w:t>
      </w:r>
      <w:r w:rsidRPr="004207DF">
        <w:rPr>
          <w:sz w:val="20"/>
          <w:lang w:val="fr-FR"/>
        </w:rPr>
        <w:t>pour qu’elle s’applique</w:t>
      </w:r>
      <w:r>
        <w:rPr>
          <w:lang w:val="fr-F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8A2E9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A52DFE"/>
    <w:multiLevelType w:val="hybridMultilevel"/>
    <w:tmpl w:val="42E00B7A"/>
    <w:lvl w:ilvl="0" w:tplc="8F121BF0">
      <w:start w:val="1"/>
      <w:numFmt w:val="lowerLetter"/>
      <w:lvlText w:val="%1."/>
      <w:lvlJc w:val="left"/>
      <w:pPr>
        <w:ind w:left="720" w:hanging="360"/>
      </w:pPr>
    </w:lvl>
    <w:lvl w:ilvl="1" w:tplc="4A620DDE">
      <w:start w:val="1"/>
      <w:numFmt w:val="lowerLetter"/>
      <w:lvlText w:val="%2."/>
      <w:lvlJc w:val="left"/>
      <w:pPr>
        <w:ind w:left="1440" w:hanging="360"/>
      </w:pPr>
    </w:lvl>
    <w:lvl w:ilvl="2" w:tplc="6290BC50">
      <w:start w:val="1"/>
      <w:numFmt w:val="lowerRoman"/>
      <w:lvlText w:val="%3."/>
      <w:lvlJc w:val="right"/>
      <w:pPr>
        <w:ind w:left="2160" w:hanging="180"/>
      </w:pPr>
    </w:lvl>
    <w:lvl w:ilvl="3" w:tplc="C01A4CFC">
      <w:start w:val="1"/>
      <w:numFmt w:val="decimal"/>
      <w:lvlText w:val="%4."/>
      <w:lvlJc w:val="left"/>
      <w:pPr>
        <w:ind w:left="2880" w:hanging="360"/>
      </w:pPr>
    </w:lvl>
    <w:lvl w:ilvl="4" w:tplc="CC568FE8">
      <w:start w:val="1"/>
      <w:numFmt w:val="lowerLetter"/>
      <w:lvlText w:val="%5."/>
      <w:lvlJc w:val="left"/>
      <w:pPr>
        <w:ind w:left="3600" w:hanging="360"/>
      </w:pPr>
    </w:lvl>
    <w:lvl w:ilvl="5" w:tplc="5F2CB5FE">
      <w:start w:val="1"/>
      <w:numFmt w:val="lowerRoman"/>
      <w:lvlText w:val="%6."/>
      <w:lvlJc w:val="right"/>
      <w:pPr>
        <w:ind w:left="4320" w:hanging="180"/>
      </w:pPr>
    </w:lvl>
    <w:lvl w:ilvl="6" w:tplc="484870EC">
      <w:start w:val="1"/>
      <w:numFmt w:val="decimal"/>
      <w:lvlText w:val="%7."/>
      <w:lvlJc w:val="left"/>
      <w:pPr>
        <w:ind w:left="5040" w:hanging="360"/>
      </w:pPr>
    </w:lvl>
    <w:lvl w:ilvl="7" w:tplc="7FFC7EA2">
      <w:start w:val="1"/>
      <w:numFmt w:val="lowerLetter"/>
      <w:lvlText w:val="%8."/>
      <w:lvlJc w:val="left"/>
      <w:pPr>
        <w:ind w:left="5760" w:hanging="360"/>
      </w:pPr>
    </w:lvl>
    <w:lvl w:ilvl="8" w:tplc="97008728">
      <w:start w:val="1"/>
      <w:numFmt w:val="lowerRoman"/>
      <w:lvlText w:val="%9."/>
      <w:lvlJc w:val="right"/>
      <w:pPr>
        <w:ind w:left="6480" w:hanging="180"/>
      </w:pPr>
    </w:lvl>
  </w:abstractNum>
  <w:abstractNum w:abstractNumId="3">
    <w:nsid w:val="0C886B5B"/>
    <w:multiLevelType w:val="multilevel"/>
    <w:tmpl w:val="863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41B29"/>
    <w:multiLevelType w:val="hybridMultilevel"/>
    <w:tmpl w:val="EB442310"/>
    <w:lvl w:ilvl="0" w:tplc="D0F04008">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6381311"/>
    <w:multiLevelType w:val="hybridMultilevel"/>
    <w:tmpl w:val="5A002010"/>
    <w:lvl w:ilvl="0" w:tplc="6902F7E8">
      <w:start w:val="1"/>
      <w:numFmt w:val="decimal"/>
      <w:lvlText w:val="%1."/>
      <w:lvlJc w:val="left"/>
      <w:pPr>
        <w:ind w:left="720" w:hanging="360"/>
      </w:pPr>
    </w:lvl>
    <w:lvl w:ilvl="1" w:tplc="3AFAF136">
      <w:start w:val="1"/>
      <w:numFmt w:val="lowerLetter"/>
      <w:lvlText w:val="%2."/>
      <w:lvlJc w:val="left"/>
      <w:pPr>
        <w:ind w:left="1440" w:hanging="360"/>
      </w:pPr>
    </w:lvl>
    <w:lvl w:ilvl="2" w:tplc="2E20DE70">
      <w:start w:val="1"/>
      <w:numFmt w:val="lowerRoman"/>
      <w:lvlText w:val="%3."/>
      <w:lvlJc w:val="right"/>
      <w:pPr>
        <w:ind w:left="2160" w:hanging="180"/>
      </w:pPr>
    </w:lvl>
    <w:lvl w:ilvl="3" w:tplc="22B86D9A">
      <w:start w:val="1"/>
      <w:numFmt w:val="decimal"/>
      <w:lvlText w:val="%4."/>
      <w:lvlJc w:val="left"/>
      <w:pPr>
        <w:ind w:left="2880" w:hanging="360"/>
      </w:pPr>
    </w:lvl>
    <w:lvl w:ilvl="4" w:tplc="1BDAE7D0">
      <w:start w:val="1"/>
      <w:numFmt w:val="lowerLetter"/>
      <w:lvlText w:val="%5."/>
      <w:lvlJc w:val="left"/>
      <w:pPr>
        <w:ind w:left="3600" w:hanging="360"/>
      </w:pPr>
    </w:lvl>
    <w:lvl w:ilvl="5" w:tplc="AEA0C512">
      <w:start w:val="1"/>
      <w:numFmt w:val="lowerRoman"/>
      <w:lvlText w:val="%6."/>
      <w:lvlJc w:val="right"/>
      <w:pPr>
        <w:ind w:left="4320" w:hanging="180"/>
      </w:pPr>
    </w:lvl>
    <w:lvl w:ilvl="6" w:tplc="F44CC586">
      <w:start w:val="1"/>
      <w:numFmt w:val="decimal"/>
      <w:lvlText w:val="%7."/>
      <w:lvlJc w:val="left"/>
      <w:pPr>
        <w:ind w:left="5040" w:hanging="360"/>
      </w:pPr>
    </w:lvl>
    <w:lvl w:ilvl="7" w:tplc="532ACCCA">
      <w:start w:val="1"/>
      <w:numFmt w:val="lowerLetter"/>
      <w:lvlText w:val="%8."/>
      <w:lvlJc w:val="left"/>
      <w:pPr>
        <w:ind w:left="5760" w:hanging="360"/>
      </w:pPr>
    </w:lvl>
    <w:lvl w:ilvl="8" w:tplc="12E8C90E">
      <w:start w:val="1"/>
      <w:numFmt w:val="lowerRoman"/>
      <w:lvlText w:val="%9."/>
      <w:lvlJc w:val="right"/>
      <w:pPr>
        <w:ind w:left="6480" w:hanging="180"/>
      </w:pPr>
    </w:lvl>
  </w:abstractNum>
  <w:abstractNum w:abstractNumId="6">
    <w:nsid w:val="46AC0227"/>
    <w:multiLevelType w:val="hybridMultilevel"/>
    <w:tmpl w:val="E0B03C6E"/>
    <w:lvl w:ilvl="0" w:tplc="4FA84D1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0C0143"/>
    <w:multiLevelType w:val="hybridMultilevel"/>
    <w:tmpl w:val="D346C8F8"/>
    <w:lvl w:ilvl="0" w:tplc="BB240220">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CA06DF"/>
    <w:multiLevelType w:val="hybridMultilevel"/>
    <w:tmpl w:val="D926477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BA3035"/>
    <w:multiLevelType w:val="hybridMultilevel"/>
    <w:tmpl w:val="28F6E996"/>
    <w:lvl w:ilvl="0" w:tplc="D5BE66A6">
      <w:start w:val="1"/>
      <w:numFmt w:val="lowerLetter"/>
      <w:lvlText w:val="%1."/>
      <w:lvlJc w:val="left"/>
      <w:pPr>
        <w:ind w:left="720" w:hanging="360"/>
      </w:pPr>
    </w:lvl>
    <w:lvl w:ilvl="1" w:tplc="6AA48F92">
      <w:start w:val="1"/>
      <w:numFmt w:val="lowerLetter"/>
      <w:lvlText w:val="%2."/>
      <w:lvlJc w:val="left"/>
      <w:pPr>
        <w:ind w:left="1440" w:hanging="360"/>
      </w:pPr>
    </w:lvl>
    <w:lvl w:ilvl="2" w:tplc="616AABEE">
      <w:start w:val="1"/>
      <w:numFmt w:val="lowerRoman"/>
      <w:lvlText w:val="%3."/>
      <w:lvlJc w:val="right"/>
      <w:pPr>
        <w:ind w:left="2160" w:hanging="180"/>
      </w:pPr>
    </w:lvl>
    <w:lvl w:ilvl="3" w:tplc="5236330E">
      <w:start w:val="1"/>
      <w:numFmt w:val="decimal"/>
      <w:lvlText w:val="%4."/>
      <w:lvlJc w:val="left"/>
      <w:pPr>
        <w:ind w:left="2880" w:hanging="360"/>
      </w:pPr>
    </w:lvl>
    <w:lvl w:ilvl="4" w:tplc="1E90DE9A">
      <w:start w:val="1"/>
      <w:numFmt w:val="lowerLetter"/>
      <w:lvlText w:val="%5."/>
      <w:lvlJc w:val="left"/>
      <w:pPr>
        <w:ind w:left="3600" w:hanging="360"/>
      </w:pPr>
    </w:lvl>
    <w:lvl w:ilvl="5" w:tplc="392CAA18">
      <w:start w:val="1"/>
      <w:numFmt w:val="lowerRoman"/>
      <w:lvlText w:val="%6."/>
      <w:lvlJc w:val="right"/>
      <w:pPr>
        <w:ind w:left="4320" w:hanging="180"/>
      </w:pPr>
    </w:lvl>
    <w:lvl w:ilvl="6" w:tplc="EA88E264">
      <w:start w:val="1"/>
      <w:numFmt w:val="decimal"/>
      <w:lvlText w:val="%7."/>
      <w:lvlJc w:val="left"/>
      <w:pPr>
        <w:ind w:left="5040" w:hanging="360"/>
      </w:pPr>
    </w:lvl>
    <w:lvl w:ilvl="7" w:tplc="ABDCCC10">
      <w:start w:val="1"/>
      <w:numFmt w:val="lowerLetter"/>
      <w:lvlText w:val="%8."/>
      <w:lvlJc w:val="left"/>
      <w:pPr>
        <w:ind w:left="5760" w:hanging="360"/>
      </w:pPr>
    </w:lvl>
    <w:lvl w:ilvl="8" w:tplc="15B4D7A2">
      <w:start w:val="1"/>
      <w:numFmt w:val="lowerRoman"/>
      <w:lvlText w:val="%9."/>
      <w:lvlJc w:val="right"/>
      <w:pPr>
        <w:ind w:left="6480" w:hanging="180"/>
      </w:pPr>
    </w:lvl>
  </w:abstractNum>
  <w:abstractNum w:abstractNumId="10">
    <w:nsid w:val="5BF17BBA"/>
    <w:multiLevelType w:val="hybridMultilevel"/>
    <w:tmpl w:val="D58AC1E8"/>
    <w:lvl w:ilvl="0" w:tplc="4FA84D1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7E1935"/>
    <w:multiLevelType w:val="hybridMultilevel"/>
    <w:tmpl w:val="9BE2C70C"/>
    <w:lvl w:ilvl="0" w:tplc="BA42248A">
      <w:start w:val="1"/>
      <w:numFmt w:val="decimal"/>
      <w:lvlText w:val="%1."/>
      <w:lvlJc w:val="left"/>
      <w:pPr>
        <w:ind w:left="720" w:hanging="360"/>
      </w:pPr>
    </w:lvl>
    <w:lvl w:ilvl="1" w:tplc="1A2AFB3C">
      <w:start w:val="1"/>
      <w:numFmt w:val="lowerLetter"/>
      <w:lvlText w:val="%2."/>
      <w:lvlJc w:val="left"/>
      <w:pPr>
        <w:ind w:left="1440" w:hanging="360"/>
      </w:pPr>
    </w:lvl>
    <w:lvl w:ilvl="2" w:tplc="F790FF68">
      <w:start w:val="1"/>
      <w:numFmt w:val="lowerRoman"/>
      <w:lvlText w:val="%3."/>
      <w:lvlJc w:val="right"/>
      <w:pPr>
        <w:ind w:left="2160" w:hanging="180"/>
      </w:pPr>
    </w:lvl>
    <w:lvl w:ilvl="3" w:tplc="C7686022">
      <w:start w:val="1"/>
      <w:numFmt w:val="decimal"/>
      <w:lvlText w:val="%4."/>
      <w:lvlJc w:val="left"/>
      <w:pPr>
        <w:ind w:left="2880" w:hanging="360"/>
      </w:pPr>
    </w:lvl>
    <w:lvl w:ilvl="4" w:tplc="7848D352">
      <w:start w:val="1"/>
      <w:numFmt w:val="lowerLetter"/>
      <w:lvlText w:val="%5."/>
      <w:lvlJc w:val="left"/>
      <w:pPr>
        <w:ind w:left="3600" w:hanging="360"/>
      </w:pPr>
    </w:lvl>
    <w:lvl w:ilvl="5" w:tplc="73DE8376">
      <w:start w:val="1"/>
      <w:numFmt w:val="lowerRoman"/>
      <w:lvlText w:val="%6."/>
      <w:lvlJc w:val="right"/>
      <w:pPr>
        <w:ind w:left="4320" w:hanging="180"/>
      </w:pPr>
    </w:lvl>
    <w:lvl w:ilvl="6" w:tplc="CACEFCA0">
      <w:start w:val="1"/>
      <w:numFmt w:val="decimal"/>
      <w:lvlText w:val="%7."/>
      <w:lvlJc w:val="left"/>
      <w:pPr>
        <w:ind w:left="5040" w:hanging="360"/>
      </w:pPr>
    </w:lvl>
    <w:lvl w:ilvl="7" w:tplc="2C5C3D62">
      <w:start w:val="1"/>
      <w:numFmt w:val="lowerLetter"/>
      <w:lvlText w:val="%8."/>
      <w:lvlJc w:val="left"/>
      <w:pPr>
        <w:ind w:left="5760" w:hanging="360"/>
      </w:pPr>
    </w:lvl>
    <w:lvl w:ilvl="8" w:tplc="3898A454">
      <w:start w:val="1"/>
      <w:numFmt w:val="lowerRoman"/>
      <w:lvlText w:val="%9."/>
      <w:lvlJc w:val="right"/>
      <w:pPr>
        <w:ind w:left="6480" w:hanging="180"/>
      </w:pPr>
    </w:lvl>
  </w:abstractNum>
  <w:abstractNum w:abstractNumId="12">
    <w:nsid w:val="5D5374AF"/>
    <w:multiLevelType w:val="hybridMultilevel"/>
    <w:tmpl w:val="70528486"/>
    <w:lvl w:ilvl="0" w:tplc="8D16EC80">
      <w:start w:val="1"/>
      <w:numFmt w:val="decimal"/>
      <w:lvlText w:val="%1."/>
      <w:lvlJc w:val="left"/>
      <w:pPr>
        <w:ind w:left="720" w:hanging="360"/>
      </w:pPr>
    </w:lvl>
    <w:lvl w:ilvl="1" w:tplc="6B6C8FEC">
      <w:start w:val="1"/>
      <w:numFmt w:val="lowerLetter"/>
      <w:lvlText w:val="%2."/>
      <w:lvlJc w:val="left"/>
      <w:pPr>
        <w:ind w:left="1440" w:hanging="360"/>
      </w:pPr>
    </w:lvl>
    <w:lvl w:ilvl="2" w:tplc="CE3423EA">
      <w:start w:val="1"/>
      <w:numFmt w:val="lowerRoman"/>
      <w:lvlText w:val="%3."/>
      <w:lvlJc w:val="right"/>
      <w:pPr>
        <w:ind w:left="2160" w:hanging="180"/>
      </w:pPr>
    </w:lvl>
    <w:lvl w:ilvl="3" w:tplc="278EBE36">
      <w:start w:val="1"/>
      <w:numFmt w:val="decimal"/>
      <w:lvlText w:val="%4."/>
      <w:lvlJc w:val="left"/>
      <w:pPr>
        <w:ind w:left="2880" w:hanging="360"/>
      </w:pPr>
    </w:lvl>
    <w:lvl w:ilvl="4" w:tplc="A7FCF90A">
      <w:start w:val="1"/>
      <w:numFmt w:val="lowerLetter"/>
      <w:lvlText w:val="%5."/>
      <w:lvlJc w:val="left"/>
      <w:pPr>
        <w:ind w:left="3600" w:hanging="360"/>
      </w:pPr>
    </w:lvl>
    <w:lvl w:ilvl="5" w:tplc="8AEC28BA">
      <w:start w:val="1"/>
      <w:numFmt w:val="lowerRoman"/>
      <w:lvlText w:val="%6."/>
      <w:lvlJc w:val="right"/>
      <w:pPr>
        <w:ind w:left="4320" w:hanging="180"/>
      </w:pPr>
    </w:lvl>
    <w:lvl w:ilvl="6" w:tplc="C01C8FEA">
      <w:start w:val="1"/>
      <w:numFmt w:val="decimal"/>
      <w:lvlText w:val="%7."/>
      <w:lvlJc w:val="left"/>
      <w:pPr>
        <w:ind w:left="5040" w:hanging="360"/>
      </w:pPr>
    </w:lvl>
    <w:lvl w:ilvl="7" w:tplc="7144C5BE">
      <w:start w:val="1"/>
      <w:numFmt w:val="lowerLetter"/>
      <w:lvlText w:val="%8."/>
      <w:lvlJc w:val="left"/>
      <w:pPr>
        <w:ind w:left="5760" w:hanging="360"/>
      </w:pPr>
    </w:lvl>
    <w:lvl w:ilvl="8" w:tplc="BC38397A">
      <w:start w:val="1"/>
      <w:numFmt w:val="lowerRoman"/>
      <w:lvlText w:val="%9."/>
      <w:lvlJc w:val="right"/>
      <w:pPr>
        <w:ind w:left="6480" w:hanging="180"/>
      </w:pPr>
    </w:lvl>
  </w:abstractNum>
  <w:abstractNum w:abstractNumId="13">
    <w:nsid w:val="66B04A55"/>
    <w:multiLevelType w:val="hybridMultilevel"/>
    <w:tmpl w:val="D3B8D7B6"/>
    <w:lvl w:ilvl="0" w:tplc="95CC444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130AEE"/>
    <w:multiLevelType w:val="hybridMultilevel"/>
    <w:tmpl w:val="DCE6F502"/>
    <w:lvl w:ilvl="0" w:tplc="057CD654">
      <w:start w:val="1"/>
      <w:numFmt w:val="decimal"/>
      <w:lvlText w:val="%1."/>
      <w:lvlJc w:val="left"/>
      <w:pPr>
        <w:ind w:left="720" w:hanging="360"/>
      </w:pPr>
    </w:lvl>
    <w:lvl w:ilvl="1" w:tplc="0BF64966">
      <w:start w:val="1"/>
      <w:numFmt w:val="lowerLetter"/>
      <w:lvlText w:val="%2."/>
      <w:lvlJc w:val="left"/>
      <w:pPr>
        <w:ind w:left="1440" w:hanging="360"/>
      </w:pPr>
    </w:lvl>
    <w:lvl w:ilvl="2" w:tplc="51EEA508">
      <w:start w:val="1"/>
      <w:numFmt w:val="lowerRoman"/>
      <w:lvlText w:val="%3."/>
      <w:lvlJc w:val="right"/>
      <w:pPr>
        <w:ind w:left="2160" w:hanging="180"/>
      </w:pPr>
    </w:lvl>
    <w:lvl w:ilvl="3" w:tplc="9288CF5C">
      <w:start w:val="1"/>
      <w:numFmt w:val="decimal"/>
      <w:lvlText w:val="%4."/>
      <w:lvlJc w:val="left"/>
      <w:pPr>
        <w:ind w:left="2880" w:hanging="360"/>
      </w:pPr>
    </w:lvl>
    <w:lvl w:ilvl="4" w:tplc="893AFC66">
      <w:start w:val="1"/>
      <w:numFmt w:val="lowerLetter"/>
      <w:lvlText w:val="%5."/>
      <w:lvlJc w:val="left"/>
      <w:pPr>
        <w:ind w:left="3600" w:hanging="360"/>
      </w:pPr>
    </w:lvl>
    <w:lvl w:ilvl="5" w:tplc="84E81E92">
      <w:start w:val="1"/>
      <w:numFmt w:val="lowerRoman"/>
      <w:lvlText w:val="%6."/>
      <w:lvlJc w:val="right"/>
      <w:pPr>
        <w:ind w:left="4320" w:hanging="180"/>
      </w:pPr>
    </w:lvl>
    <w:lvl w:ilvl="6" w:tplc="0FD00E7C">
      <w:start w:val="1"/>
      <w:numFmt w:val="decimal"/>
      <w:lvlText w:val="%7."/>
      <w:lvlJc w:val="left"/>
      <w:pPr>
        <w:ind w:left="5040" w:hanging="360"/>
      </w:pPr>
    </w:lvl>
    <w:lvl w:ilvl="7" w:tplc="F8CC3F4C">
      <w:start w:val="1"/>
      <w:numFmt w:val="lowerLetter"/>
      <w:lvlText w:val="%8."/>
      <w:lvlJc w:val="left"/>
      <w:pPr>
        <w:ind w:left="5760" w:hanging="360"/>
      </w:pPr>
    </w:lvl>
    <w:lvl w:ilvl="8" w:tplc="B71659FE">
      <w:start w:val="1"/>
      <w:numFmt w:val="lowerRoman"/>
      <w:lvlText w:val="%9."/>
      <w:lvlJc w:val="right"/>
      <w:pPr>
        <w:ind w:left="6480" w:hanging="180"/>
      </w:pPr>
    </w:lvl>
  </w:abstractNum>
  <w:abstractNum w:abstractNumId="15">
    <w:nsid w:val="78F773F8"/>
    <w:multiLevelType w:val="hybridMultilevel"/>
    <w:tmpl w:val="9D2AF106"/>
    <w:lvl w:ilvl="0" w:tplc="7834E25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915BC3"/>
    <w:multiLevelType w:val="hybridMultilevel"/>
    <w:tmpl w:val="0900AA76"/>
    <w:lvl w:ilvl="0" w:tplc="4FA84D1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7A391A"/>
    <w:multiLevelType w:val="hybridMultilevel"/>
    <w:tmpl w:val="A0A42D00"/>
    <w:lvl w:ilvl="0" w:tplc="4FA84D1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8E3A4A"/>
    <w:multiLevelType w:val="hybridMultilevel"/>
    <w:tmpl w:val="E654BB70"/>
    <w:lvl w:ilvl="0" w:tplc="4FA84D1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5"/>
  </w:num>
  <w:num w:numId="5">
    <w:abstractNumId w:val="9"/>
  </w:num>
  <w:num w:numId="6">
    <w:abstractNumId w:val="2"/>
  </w:num>
  <w:num w:numId="7">
    <w:abstractNumId w:val="6"/>
  </w:num>
  <w:num w:numId="8">
    <w:abstractNumId w:val="13"/>
  </w:num>
  <w:num w:numId="9">
    <w:abstractNumId w:val="8"/>
  </w:num>
  <w:num w:numId="10">
    <w:abstractNumId w:val="7"/>
  </w:num>
  <w:num w:numId="11">
    <w:abstractNumId w:val="15"/>
  </w:num>
  <w:num w:numId="12">
    <w:abstractNumId w:val="10"/>
  </w:num>
  <w:num w:numId="13">
    <w:abstractNumId w:val="16"/>
  </w:num>
  <w:num w:numId="14">
    <w:abstractNumId w:val="17"/>
  </w:num>
  <w:num w:numId="15">
    <w:abstractNumId w:val="18"/>
  </w:num>
  <w:num w:numId="16">
    <w:abstractNumId w:val="1"/>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69"/>
    <w:rsid w:val="00000245"/>
    <w:rsid w:val="0000234D"/>
    <w:rsid w:val="0000394B"/>
    <w:rsid w:val="00003951"/>
    <w:rsid w:val="0001022B"/>
    <w:rsid w:val="000137EF"/>
    <w:rsid w:val="0001493B"/>
    <w:rsid w:val="00015E30"/>
    <w:rsid w:val="00017859"/>
    <w:rsid w:val="000205CC"/>
    <w:rsid w:val="000205DD"/>
    <w:rsid w:val="00025BD7"/>
    <w:rsid w:val="0002616F"/>
    <w:rsid w:val="000274D8"/>
    <w:rsid w:val="000302D9"/>
    <w:rsid w:val="000317A7"/>
    <w:rsid w:val="00032EFC"/>
    <w:rsid w:val="00033882"/>
    <w:rsid w:val="00040C45"/>
    <w:rsid w:val="00050929"/>
    <w:rsid w:val="00051E62"/>
    <w:rsid w:val="00061D94"/>
    <w:rsid w:val="00063F25"/>
    <w:rsid w:val="00066010"/>
    <w:rsid w:val="0006623D"/>
    <w:rsid w:val="00071DCD"/>
    <w:rsid w:val="00072312"/>
    <w:rsid w:val="00077D42"/>
    <w:rsid w:val="000815E4"/>
    <w:rsid w:val="000819BC"/>
    <w:rsid w:val="00082DB2"/>
    <w:rsid w:val="0008594A"/>
    <w:rsid w:val="0008595E"/>
    <w:rsid w:val="0008762B"/>
    <w:rsid w:val="00087873"/>
    <w:rsid w:val="00091563"/>
    <w:rsid w:val="00092815"/>
    <w:rsid w:val="00094466"/>
    <w:rsid w:val="00097624"/>
    <w:rsid w:val="000A10A8"/>
    <w:rsid w:val="000A1131"/>
    <w:rsid w:val="000A1774"/>
    <w:rsid w:val="000A1C3F"/>
    <w:rsid w:val="000A1E8B"/>
    <w:rsid w:val="000A3A53"/>
    <w:rsid w:val="000A5ECF"/>
    <w:rsid w:val="000B66FE"/>
    <w:rsid w:val="000C12EE"/>
    <w:rsid w:val="000C152D"/>
    <w:rsid w:val="000C244E"/>
    <w:rsid w:val="000C71D8"/>
    <w:rsid w:val="000D1C6C"/>
    <w:rsid w:val="000D1D62"/>
    <w:rsid w:val="000D45D5"/>
    <w:rsid w:val="000D632F"/>
    <w:rsid w:val="000E5E79"/>
    <w:rsid w:val="000E75FC"/>
    <w:rsid w:val="000F29FD"/>
    <w:rsid w:val="000F342A"/>
    <w:rsid w:val="00102276"/>
    <w:rsid w:val="00103AFE"/>
    <w:rsid w:val="001040AE"/>
    <w:rsid w:val="00105D44"/>
    <w:rsid w:val="001076C7"/>
    <w:rsid w:val="00107EC6"/>
    <w:rsid w:val="0011144A"/>
    <w:rsid w:val="00111ADF"/>
    <w:rsid w:val="00114B34"/>
    <w:rsid w:val="00117DB6"/>
    <w:rsid w:val="0012108D"/>
    <w:rsid w:val="001220C6"/>
    <w:rsid w:val="00124352"/>
    <w:rsid w:val="00135EBD"/>
    <w:rsid w:val="001412A2"/>
    <w:rsid w:val="00143B28"/>
    <w:rsid w:val="00152818"/>
    <w:rsid w:val="00155743"/>
    <w:rsid w:val="00157EE7"/>
    <w:rsid w:val="00163369"/>
    <w:rsid w:val="00163FE5"/>
    <w:rsid w:val="00164AA8"/>
    <w:rsid w:val="00170172"/>
    <w:rsid w:val="0017497B"/>
    <w:rsid w:val="001849B7"/>
    <w:rsid w:val="0018556F"/>
    <w:rsid w:val="00187B30"/>
    <w:rsid w:val="001937E6"/>
    <w:rsid w:val="001952B7"/>
    <w:rsid w:val="0019534A"/>
    <w:rsid w:val="001958A7"/>
    <w:rsid w:val="001A2E8C"/>
    <w:rsid w:val="001A4D03"/>
    <w:rsid w:val="001A6C66"/>
    <w:rsid w:val="001B2237"/>
    <w:rsid w:val="001B2E28"/>
    <w:rsid w:val="001B35B8"/>
    <w:rsid w:val="001B39FF"/>
    <w:rsid w:val="001B3A6F"/>
    <w:rsid w:val="001B5E89"/>
    <w:rsid w:val="001C66BD"/>
    <w:rsid w:val="001D0693"/>
    <w:rsid w:val="001D4F9F"/>
    <w:rsid w:val="001D5235"/>
    <w:rsid w:val="001D5633"/>
    <w:rsid w:val="001E5534"/>
    <w:rsid w:val="001F171C"/>
    <w:rsid w:val="001F4D5F"/>
    <w:rsid w:val="00201D25"/>
    <w:rsid w:val="002040D0"/>
    <w:rsid w:val="00213B76"/>
    <w:rsid w:val="00214326"/>
    <w:rsid w:val="00223C00"/>
    <w:rsid w:val="00224052"/>
    <w:rsid w:val="0024398B"/>
    <w:rsid w:val="0024583F"/>
    <w:rsid w:val="00254823"/>
    <w:rsid w:val="00262D8C"/>
    <w:rsid w:val="002639A9"/>
    <w:rsid w:val="00272317"/>
    <w:rsid w:val="00277BB1"/>
    <w:rsid w:val="002809D7"/>
    <w:rsid w:val="0028485D"/>
    <w:rsid w:val="0028496B"/>
    <w:rsid w:val="00286664"/>
    <w:rsid w:val="002901AA"/>
    <w:rsid w:val="00290628"/>
    <w:rsid w:val="002A0503"/>
    <w:rsid w:val="002A65C3"/>
    <w:rsid w:val="002A7A32"/>
    <w:rsid w:val="002B5E3C"/>
    <w:rsid w:val="002C5200"/>
    <w:rsid w:val="002C5FB8"/>
    <w:rsid w:val="002C6E67"/>
    <w:rsid w:val="002D2595"/>
    <w:rsid w:val="002D2A2F"/>
    <w:rsid w:val="002D38FC"/>
    <w:rsid w:val="002D519B"/>
    <w:rsid w:val="002D5589"/>
    <w:rsid w:val="002D5CE0"/>
    <w:rsid w:val="002D5E96"/>
    <w:rsid w:val="002D650A"/>
    <w:rsid w:val="002E1EDA"/>
    <w:rsid w:val="002E2C29"/>
    <w:rsid w:val="002E46A5"/>
    <w:rsid w:val="002E5BE8"/>
    <w:rsid w:val="002E6A10"/>
    <w:rsid w:val="002E75FB"/>
    <w:rsid w:val="002F2FB4"/>
    <w:rsid w:val="002F30ED"/>
    <w:rsid w:val="003017CF"/>
    <w:rsid w:val="00303197"/>
    <w:rsid w:val="00303B93"/>
    <w:rsid w:val="0031320D"/>
    <w:rsid w:val="003148AA"/>
    <w:rsid w:val="00314B6A"/>
    <w:rsid w:val="00314F24"/>
    <w:rsid w:val="0031549F"/>
    <w:rsid w:val="00316A9C"/>
    <w:rsid w:val="00320473"/>
    <w:rsid w:val="0032054E"/>
    <w:rsid w:val="00326FF5"/>
    <w:rsid w:val="00333042"/>
    <w:rsid w:val="003336A8"/>
    <w:rsid w:val="00344B01"/>
    <w:rsid w:val="00350417"/>
    <w:rsid w:val="00356EF8"/>
    <w:rsid w:val="00360297"/>
    <w:rsid w:val="003609A7"/>
    <w:rsid w:val="00371003"/>
    <w:rsid w:val="003741AC"/>
    <w:rsid w:val="003754A9"/>
    <w:rsid w:val="00375572"/>
    <w:rsid w:val="0037601E"/>
    <w:rsid w:val="003811EC"/>
    <w:rsid w:val="0038374B"/>
    <w:rsid w:val="003902A1"/>
    <w:rsid w:val="0039117E"/>
    <w:rsid w:val="003967AB"/>
    <w:rsid w:val="003A012D"/>
    <w:rsid w:val="003B372D"/>
    <w:rsid w:val="003B3BC6"/>
    <w:rsid w:val="003B53D2"/>
    <w:rsid w:val="003B546B"/>
    <w:rsid w:val="003C20F5"/>
    <w:rsid w:val="003C2E93"/>
    <w:rsid w:val="003C4690"/>
    <w:rsid w:val="003C5108"/>
    <w:rsid w:val="003C5525"/>
    <w:rsid w:val="003C648D"/>
    <w:rsid w:val="003C6976"/>
    <w:rsid w:val="003D5C59"/>
    <w:rsid w:val="003E0DF4"/>
    <w:rsid w:val="003E18BC"/>
    <w:rsid w:val="003E3400"/>
    <w:rsid w:val="003E6D25"/>
    <w:rsid w:val="003F623C"/>
    <w:rsid w:val="00400766"/>
    <w:rsid w:val="00400D66"/>
    <w:rsid w:val="00400DD7"/>
    <w:rsid w:val="004035F7"/>
    <w:rsid w:val="004037A0"/>
    <w:rsid w:val="004069BF"/>
    <w:rsid w:val="00411FE6"/>
    <w:rsid w:val="004120A1"/>
    <w:rsid w:val="0041242C"/>
    <w:rsid w:val="00412991"/>
    <w:rsid w:val="004146C1"/>
    <w:rsid w:val="00414C63"/>
    <w:rsid w:val="00415EC6"/>
    <w:rsid w:val="0041689A"/>
    <w:rsid w:val="00417129"/>
    <w:rsid w:val="004207DF"/>
    <w:rsid w:val="0042231C"/>
    <w:rsid w:val="00422406"/>
    <w:rsid w:val="0043280B"/>
    <w:rsid w:val="004341E3"/>
    <w:rsid w:val="00440E61"/>
    <w:rsid w:val="00444023"/>
    <w:rsid w:val="004445FE"/>
    <w:rsid w:val="00445B53"/>
    <w:rsid w:val="00466BDB"/>
    <w:rsid w:val="00472F03"/>
    <w:rsid w:val="00480CD1"/>
    <w:rsid w:val="004825A9"/>
    <w:rsid w:val="00482AF7"/>
    <w:rsid w:val="004858F1"/>
    <w:rsid w:val="0048723F"/>
    <w:rsid w:val="004A4D93"/>
    <w:rsid w:val="004B1D59"/>
    <w:rsid w:val="004B3679"/>
    <w:rsid w:val="004B3DD4"/>
    <w:rsid w:val="004B46A6"/>
    <w:rsid w:val="004B5301"/>
    <w:rsid w:val="004C12CC"/>
    <w:rsid w:val="004C387C"/>
    <w:rsid w:val="004C39C0"/>
    <w:rsid w:val="004C3DD9"/>
    <w:rsid w:val="004C459E"/>
    <w:rsid w:val="004C4B55"/>
    <w:rsid w:val="004D039E"/>
    <w:rsid w:val="004D58A9"/>
    <w:rsid w:val="004D7FF7"/>
    <w:rsid w:val="004E22E6"/>
    <w:rsid w:val="004E3590"/>
    <w:rsid w:val="004E5678"/>
    <w:rsid w:val="004F26D6"/>
    <w:rsid w:val="004F320A"/>
    <w:rsid w:val="004F762A"/>
    <w:rsid w:val="00503441"/>
    <w:rsid w:val="005127F3"/>
    <w:rsid w:val="005131FA"/>
    <w:rsid w:val="005139C0"/>
    <w:rsid w:val="005156B0"/>
    <w:rsid w:val="00524D4A"/>
    <w:rsid w:val="00525D7F"/>
    <w:rsid w:val="00526C99"/>
    <w:rsid w:val="0052713B"/>
    <w:rsid w:val="00534098"/>
    <w:rsid w:val="005400A3"/>
    <w:rsid w:val="005419BB"/>
    <w:rsid w:val="005528D5"/>
    <w:rsid w:val="005552CA"/>
    <w:rsid w:val="005567DE"/>
    <w:rsid w:val="00560AEC"/>
    <w:rsid w:val="00562027"/>
    <w:rsid w:val="00571C7B"/>
    <w:rsid w:val="00572C9F"/>
    <w:rsid w:val="00573BF9"/>
    <w:rsid w:val="00580B62"/>
    <w:rsid w:val="00583E0A"/>
    <w:rsid w:val="0058465A"/>
    <w:rsid w:val="0058763E"/>
    <w:rsid w:val="005901F0"/>
    <w:rsid w:val="00595158"/>
    <w:rsid w:val="005A3728"/>
    <w:rsid w:val="005A3DA9"/>
    <w:rsid w:val="005B0839"/>
    <w:rsid w:val="005B120B"/>
    <w:rsid w:val="005C006D"/>
    <w:rsid w:val="005C20FE"/>
    <w:rsid w:val="005C5042"/>
    <w:rsid w:val="005C5972"/>
    <w:rsid w:val="005D1300"/>
    <w:rsid w:val="005D464F"/>
    <w:rsid w:val="005D67F8"/>
    <w:rsid w:val="005E2ED8"/>
    <w:rsid w:val="005E31D3"/>
    <w:rsid w:val="005E44C8"/>
    <w:rsid w:val="005E4DC8"/>
    <w:rsid w:val="005E6D89"/>
    <w:rsid w:val="005F0F53"/>
    <w:rsid w:val="005F723A"/>
    <w:rsid w:val="005F7518"/>
    <w:rsid w:val="00604A14"/>
    <w:rsid w:val="00604E0E"/>
    <w:rsid w:val="00607E9A"/>
    <w:rsid w:val="006105F2"/>
    <w:rsid w:val="006107D9"/>
    <w:rsid w:val="00611586"/>
    <w:rsid w:val="006121F9"/>
    <w:rsid w:val="006131F1"/>
    <w:rsid w:val="006136DE"/>
    <w:rsid w:val="00614E46"/>
    <w:rsid w:val="00614EDC"/>
    <w:rsid w:val="00615AD1"/>
    <w:rsid w:val="0061743E"/>
    <w:rsid w:val="00617B1E"/>
    <w:rsid w:val="0062271B"/>
    <w:rsid w:val="0062302F"/>
    <w:rsid w:val="0062488A"/>
    <w:rsid w:val="00631C1A"/>
    <w:rsid w:val="00635522"/>
    <w:rsid w:val="00636B4D"/>
    <w:rsid w:val="006413DA"/>
    <w:rsid w:val="0064603E"/>
    <w:rsid w:val="006461B8"/>
    <w:rsid w:val="006526F2"/>
    <w:rsid w:val="006533B0"/>
    <w:rsid w:val="00655901"/>
    <w:rsid w:val="00656234"/>
    <w:rsid w:val="00656517"/>
    <w:rsid w:val="00657D78"/>
    <w:rsid w:val="00670A56"/>
    <w:rsid w:val="006735E4"/>
    <w:rsid w:val="00681D62"/>
    <w:rsid w:val="00684D18"/>
    <w:rsid w:val="00686954"/>
    <w:rsid w:val="006878DF"/>
    <w:rsid w:val="00690983"/>
    <w:rsid w:val="006A003F"/>
    <w:rsid w:val="006A12AA"/>
    <w:rsid w:val="006A1F97"/>
    <w:rsid w:val="006A403D"/>
    <w:rsid w:val="006A5650"/>
    <w:rsid w:val="006A5780"/>
    <w:rsid w:val="006A5B66"/>
    <w:rsid w:val="006A791E"/>
    <w:rsid w:val="006B2CB6"/>
    <w:rsid w:val="006B68AE"/>
    <w:rsid w:val="006C35A3"/>
    <w:rsid w:val="006C6892"/>
    <w:rsid w:val="006D7B17"/>
    <w:rsid w:val="006D7BF4"/>
    <w:rsid w:val="006E089F"/>
    <w:rsid w:val="006E0F75"/>
    <w:rsid w:val="006F79DB"/>
    <w:rsid w:val="007047E5"/>
    <w:rsid w:val="00706A48"/>
    <w:rsid w:val="00711DC9"/>
    <w:rsid w:val="00711F7F"/>
    <w:rsid w:val="00714B63"/>
    <w:rsid w:val="00724AB5"/>
    <w:rsid w:val="00724B38"/>
    <w:rsid w:val="007306F2"/>
    <w:rsid w:val="00734B27"/>
    <w:rsid w:val="00734EC2"/>
    <w:rsid w:val="00735E10"/>
    <w:rsid w:val="00736C5B"/>
    <w:rsid w:val="00740E09"/>
    <w:rsid w:val="00743719"/>
    <w:rsid w:val="00753950"/>
    <w:rsid w:val="00753ABF"/>
    <w:rsid w:val="007558B8"/>
    <w:rsid w:val="00756000"/>
    <w:rsid w:val="007561E0"/>
    <w:rsid w:val="00756889"/>
    <w:rsid w:val="007630AC"/>
    <w:rsid w:val="00766074"/>
    <w:rsid w:val="007704BC"/>
    <w:rsid w:val="00770576"/>
    <w:rsid w:val="007714A8"/>
    <w:rsid w:val="00775B8F"/>
    <w:rsid w:val="007773E4"/>
    <w:rsid w:val="00780008"/>
    <w:rsid w:val="00781769"/>
    <w:rsid w:val="00781A20"/>
    <w:rsid w:val="00781AD1"/>
    <w:rsid w:val="007829F8"/>
    <w:rsid w:val="00783D15"/>
    <w:rsid w:val="0078591E"/>
    <w:rsid w:val="00790B4E"/>
    <w:rsid w:val="00796C04"/>
    <w:rsid w:val="00797525"/>
    <w:rsid w:val="007A0EE9"/>
    <w:rsid w:val="007A3CFC"/>
    <w:rsid w:val="007A5D0F"/>
    <w:rsid w:val="007B50EE"/>
    <w:rsid w:val="007B5C0A"/>
    <w:rsid w:val="007B6211"/>
    <w:rsid w:val="007B7A56"/>
    <w:rsid w:val="007C054B"/>
    <w:rsid w:val="007C1C74"/>
    <w:rsid w:val="007C5D2D"/>
    <w:rsid w:val="007C5D41"/>
    <w:rsid w:val="007D0BDB"/>
    <w:rsid w:val="007D54AB"/>
    <w:rsid w:val="007E0BD0"/>
    <w:rsid w:val="007E6DD3"/>
    <w:rsid w:val="007F007E"/>
    <w:rsid w:val="007F3136"/>
    <w:rsid w:val="007F38E6"/>
    <w:rsid w:val="007F555F"/>
    <w:rsid w:val="00803D82"/>
    <w:rsid w:val="00807254"/>
    <w:rsid w:val="00810AF9"/>
    <w:rsid w:val="00811FD7"/>
    <w:rsid w:val="008127E1"/>
    <w:rsid w:val="008134F2"/>
    <w:rsid w:val="00815699"/>
    <w:rsid w:val="008159A7"/>
    <w:rsid w:val="0081740E"/>
    <w:rsid w:val="008226DE"/>
    <w:rsid w:val="00822785"/>
    <w:rsid w:val="00825AF4"/>
    <w:rsid w:val="008262B6"/>
    <w:rsid w:val="0083137B"/>
    <w:rsid w:val="00835D52"/>
    <w:rsid w:val="00837796"/>
    <w:rsid w:val="008425E7"/>
    <w:rsid w:val="008446DF"/>
    <w:rsid w:val="00844E05"/>
    <w:rsid w:val="00845258"/>
    <w:rsid w:val="00847ED5"/>
    <w:rsid w:val="00850489"/>
    <w:rsid w:val="00850CB0"/>
    <w:rsid w:val="00850E94"/>
    <w:rsid w:val="00851CA1"/>
    <w:rsid w:val="00852FC8"/>
    <w:rsid w:val="0085553E"/>
    <w:rsid w:val="008564B4"/>
    <w:rsid w:val="008611B4"/>
    <w:rsid w:val="0086281E"/>
    <w:rsid w:val="00862DC7"/>
    <w:rsid w:val="00863C1D"/>
    <w:rsid w:val="00863F2E"/>
    <w:rsid w:val="00866311"/>
    <w:rsid w:val="00880843"/>
    <w:rsid w:val="008818AB"/>
    <w:rsid w:val="0088212C"/>
    <w:rsid w:val="00884AC3"/>
    <w:rsid w:val="00885460"/>
    <w:rsid w:val="00885815"/>
    <w:rsid w:val="008902FF"/>
    <w:rsid w:val="00893FCA"/>
    <w:rsid w:val="00895E04"/>
    <w:rsid w:val="008979BD"/>
    <w:rsid w:val="008A1973"/>
    <w:rsid w:val="008A1BBE"/>
    <w:rsid w:val="008A53AA"/>
    <w:rsid w:val="008B1CA6"/>
    <w:rsid w:val="008B2D5F"/>
    <w:rsid w:val="008B343C"/>
    <w:rsid w:val="008B3E16"/>
    <w:rsid w:val="008B4E6E"/>
    <w:rsid w:val="008C08E6"/>
    <w:rsid w:val="008C0DD5"/>
    <w:rsid w:val="008C2451"/>
    <w:rsid w:val="008C5F60"/>
    <w:rsid w:val="008C7B67"/>
    <w:rsid w:val="008D5244"/>
    <w:rsid w:val="008E2ECC"/>
    <w:rsid w:val="008E4D9C"/>
    <w:rsid w:val="008E6228"/>
    <w:rsid w:val="008E6E30"/>
    <w:rsid w:val="008F03BE"/>
    <w:rsid w:val="008F0EAA"/>
    <w:rsid w:val="008F17D1"/>
    <w:rsid w:val="008F3062"/>
    <w:rsid w:val="008F4B5C"/>
    <w:rsid w:val="0091106D"/>
    <w:rsid w:val="009121D8"/>
    <w:rsid w:val="0091332B"/>
    <w:rsid w:val="00920324"/>
    <w:rsid w:val="00920A8B"/>
    <w:rsid w:val="0092157D"/>
    <w:rsid w:val="00922148"/>
    <w:rsid w:val="00923124"/>
    <w:rsid w:val="009332EA"/>
    <w:rsid w:val="0093457A"/>
    <w:rsid w:val="00940465"/>
    <w:rsid w:val="00940B74"/>
    <w:rsid w:val="00941D38"/>
    <w:rsid w:val="00941E57"/>
    <w:rsid w:val="00942AB9"/>
    <w:rsid w:val="00944A0C"/>
    <w:rsid w:val="009475E0"/>
    <w:rsid w:val="00947FF3"/>
    <w:rsid w:val="00954DE2"/>
    <w:rsid w:val="00956750"/>
    <w:rsid w:val="00960E7F"/>
    <w:rsid w:val="00963A00"/>
    <w:rsid w:val="00963AB5"/>
    <w:rsid w:val="009656D0"/>
    <w:rsid w:val="009726F6"/>
    <w:rsid w:val="00980699"/>
    <w:rsid w:val="009817EA"/>
    <w:rsid w:val="00985851"/>
    <w:rsid w:val="00992ACC"/>
    <w:rsid w:val="009938C0"/>
    <w:rsid w:val="009A2C9F"/>
    <w:rsid w:val="009A6400"/>
    <w:rsid w:val="009A7942"/>
    <w:rsid w:val="009B1B24"/>
    <w:rsid w:val="009B4227"/>
    <w:rsid w:val="009B56FD"/>
    <w:rsid w:val="009B6A30"/>
    <w:rsid w:val="009C0FF9"/>
    <w:rsid w:val="009C2A1A"/>
    <w:rsid w:val="009C303E"/>
    <w:rsid w:val="009D2096"/>
    <w:rsid w:val="009D28B9"/>
    <w:rsid w:val="009D31E9"/>
    <w:rsid w:val="009D32D9"/>
    <w:rsid w:val="009D599A"/>
    <w:rsid w:val="009E3C25"/>
    <w:rsid w:val="009F56CD"/>
    <w:rsid w:val="009F5C02"/>
    <w:rsid w:val="00A002BD"/>
    <w:rsid w:val="00A002F1"/>
    <w:rsid w:val="00A01AD4"/>
    <w:rsid w:val="00A029B9"/>
    <w:rsid w:val="00A04F8D"/>
    <w:rsid w:val="00A050CE"/>
    <w:rsid w:val="00A101E0"/>
    <w:rsid w:val="00A20FC9"/>
    <w:rsid w:val="00A22672"/>
    <w:rsid w:val="00A23F9F"/>
    <w:rsid w:val="00A30733"/>
    <w:rsid w:val="00A30DFF"/>
    <w:rsid w:val="00A32CAE"/>
    <w:rsid w:val="00A33A56"/>
    <w:rsid w:val="00A33E34"/>
    <w:rsid w:val="00A346BF"/>
    <w:rsid w:val="00A36C1C"/>
    <w:rsid w:val="00A4171D"/>
    <w:rsid w:val="00A42F28"/>
    <w:rsid w:val="00A456A2"/>
    <w:rsid w:val="00A46F08"/>
    <w:rsid w:val="00A52B6B"/>
    <w:rsid w:val="00A53EF4"/>
    <w:rsid w:val="00A55286"/>
    <w:rsid w:val="00A56791"/>
    <w:rsid w:val="00A57B20"/>
    <w:rsid w:val="00A6067F"/>
    <w:rsid w:val="00A624AC"/>
    <w:rsid w:val="00A63268"/>
    <w:rsid w:val="00A6376D"/>
    <w:rsid w:val="00A637A0"/>
    <w:rsid w:val="00A655D5"/>
    <w:rsid w:val="00A72FB2"/>
    <w:rsid w:val="00A75AA9"/>
    <w:rsid w:val="00A80C1E"/>
    <w:rsid w:val="00A85CE0"/>
    <w:rsid w:val="00A90AF0"/>
    <w:rsid w:val="00A921D8"/>
    <w:rsid w:val="00A94043"/>
    <w:rsid w:val="00A94A8B"/>
    <w:rsid w:val="00AA21D0"/>
    <w:rsid w:val="00AA26A2"/>
    <w:rsid w:val="00AA4AE5"/>
    <w:rsid w:val="00AA5E8D"/>
    <w:rsid w:val="00AB4054"/>
    <w:rsid w:val="00AB528A"/>
    <w:rsid w:val="00AB5BAA"/>
    <w:rsid w:val="00AB7150"/>
    <w:rsid w:val="00AC2E35"/>
    <w:rsid w:val="00AC30EB"/>
    <w:rsid w:val="00AC4FC7"/>
    <w:rsid w:val="00AD26D3"/>
    <w:rsid w:val="00AD27F5"/>
    <w:rsid w:val="00AF2DD6"/>
    <w:rsid w:val="00AF4E27"/>
    <w:rsid w:val="00AF4E71"/>
    <w:rsid w:val="00B002E0"/>
    <w:rsid w:val="00B024FC"/>
    <w:rsid w:val="00B04F23"/>
    <w:rsid w:val="00B067F7"/>
    <w:rsid w:val="00B12021"/>
    <w:rsid w:val="00B13A2F"/>
    <w:rsid w:val="00B15499"/>
    <w:rsid w:val="00B17CED"/>
    <w:rsid w:val="00B2189D"/>
    <w:rsid w:val="00B22FB5"/>
    <w:rsid w:val="00B2674F"/>
    <w:rsid w:val="00B30778"/>
    <w:rsid w:val="00B36C0E"/>
    <w:rsid w:val="00B408E3"/>
    <w:rsid w:val="00B52473"/>
    <w:rsid w:val="00B53103"/>
    <w:rsid w:val="00B61E4C"/>
    <w:rsid w:val="00B6716D"/>
    <w:rsid w:val="00B73CE3"/>
    <w:rsid w:val="00B73D10"/>
    <w:rsid w:val="00B77C77"/>
    <w:rsid w:val="00B8116E"/>
    <w:rsid w:val="00B82267"/>
    <w:rsid w:val="00B82FCF"/>
    <w:rsid w:val="00B85312"/>
    <w:rsid w:val="00B91835"/>
    <w:rsid w:val="00B94111"/>
    <w:rsid w:val="00B96F20"/>
    <w:rsid w:val="00B96FF3"/>
    <w:rsid w:val="00BA161A"/>
    <w:rsid w:val="00BA2CCF"/>
    <w:rsid w:val="00BA2CDD"/>
    <w:rsid w:val="00BA43F7"/>
    <w:rsid w:val="00BA511B"/>
    <w:rsid w:val="00BA635C"/>
    <w:rsid w:val="00BA667A"/>
    <w:rsid w:val="00BB2BC0"/>
    <w:rsid w:val="00BB3E68"/>
    <w:rsid w:val="00BC21AB"/>
    <w:rsid w:val="00BC2846"/>
    <w:rsid w:val="00BC3971"/>
    <w:rsid w:val="00BC3C00"/>
    <w:rsid w:val="00BC4E88"/>
    <w:rsid w:val="00BD3452"/>
    <w:rsid w:val="00BD397F"/>
    <w:rsid w:val="00BD3C9E"/>
    <w:rsid w:val="00BE07B3"/>
    <w:rsid w:val="00BF5024"/>
    <w:rsid w:val="00BF66ED"/>
    <w:rsid w:val="00C0074A"/>
    <w:rsid w:val="00C01A6C"/>
    <w:rsid w:val="00C02A3F"/>
    <w:rsid w:val="00C05F6A"/>
    <w:rsid w:val="00C165B0"/>
    <w:rsid w:val="00C21405"/>
    <w:rsid w:val="00C2273D"/>
    <w:rsid w:val="00C22964"/>
    <w:rsid w:val="00C2358D"/>
    <w:rsid w:val="00C23CF2"/>
    <w:rsid w:val="00C3361A"/>
    <w:rsid w:val="00C35D4E"/>
    <w:rsid w:val="00C36AE0"/>
    <w:rsid w:val="00C37828"/>
    <w:rsid w:val="00C43AFD"/>
    <w:rsid w:val="00C5169D"/>
    <w:rsid w:val="00C53AFF"/>
    <w:rsid w:val="00C65322"/>
    <w:rsid w:val="00C66A44"/>
    <w:rsid w:val="00C70B6E"/>
    <w:rsid w:val="00C7252F"/>
    <w:rsid w:val="00C7795A"/>
    <w:rsid w:val="00C77C4F"/>
    <w:rsid w:val="00C82F62"/>
    <w:rsid w:val="00C853BC"/>
    <w:rsid w:val="00C86E25"/>
    <w:rsid w:val="00C87D1A"/>
    <w:rsid w:val="00C919BF"/>
    <w:rsid w:val="00C951A4"/>
    <w:rsid w:val="00C97AF4"/>
    <w:rsid w:val="00CA0005"/>
    <w:rsid w:val="00CA011B"/>
    <w:rsid w:val="00CA458E"/>
    <w:rsid w:val="00CA74AE"/>
    <w:rsid w:val="00CB26E6"/>
    <w:rsid w:val="00CB2BBC"/>
    <w:rsid w:val="00CB30A6"/>
    <w:rsid w:val="00CC13AD"/>
    <w:rsid w:val="00CC3FA7"/>
    <w:rsid w:val="00CD0B29"/>
    <w:rsid w:val="00CD0EF9"/>
    <w:rsid w:val="00CD1A95"/>
    <w:rsid w:val="00CD503B"/>
    <w:rsid w:val="00CD5C52"/>
    <w:rsid w:val="00CE1BC5"/>
    <w:rsid w:val="00CE7241"/>
    <w:rsid w:val="00CE78A9"/>
    <w:rsid w:val="00CF0CA6"/>
    <w:rsid w:val="00CF1F38"/>
    <w:rsid w:val="00CF2A7E"/>
    <w:rsid w:val="00CF56AD"/>
    <w:rsid w:val="00D0032F"/>
    <w:rsid w:val="00D0097D"/>
    <w:rsid w:val="00D011C7"/>
    <w:rsid w:val="00D01728"/>
    <w:rsid w:val="00D02720"/>
    <w:rsid w:val="00D103D3"/>
    <w:rsid w:val="00D133A1"/>
    <w:rsid w:val="00D16047"/>
    <w:rsid w:val="00D23724"/>
    <w:rsid w:val="00D33340"/>
    <w:rsid w:val="00D3763C"/>
    <w:rsid w:val="00D43F31"/>
    <w:rsid w:val="00D44FA9"/>
    <w:rsid w:val="00D53071"/>
    <w:rsid w:val="00D53D40"/>
    <w:rsid w:val="00D54888"/>
    <w:rsid w:val="00D60542"/>
    <w:rsid w:val="00D61BE7"/>
    <w:rsid w:val="00D6278D"/>
    <w:rsid w:val="00D62953"/>
    <w:rsid w:val="00D6628D"/>
    <w:rsid w:val="00D717EB"/>
    <w:rsid w:val="00D7218C"/>
    <w:rsid w:val="00D75C6F"/>
    <w:rsid w:val="00D80C05"/>
    <w:rsid w:val="00D8206B"/>
    <w:rsid w:val="00D83E9F"/>
    <w:rsid w:val="00D86012"/>
    <w:rsid w:val="00D9145A"/>
    <w:rsid w:val="00D91B79"/>
    <w:rsid w:val="00D925E0"/>
    <w:rsid w:val="00D930B2"/>
    <w:rsid w:val="00D932F3"/>
    <w:rsid w:val="00D96207"/>
    <w:rsid w:val="00DA0684"/>
    <w:rsid w:val="00DA41BA"/>
    <w:rsid w:val="00DA680B"/>
    <w:rsid w:val="00DA710F"/>
    <w:rsid w:val="00DA7BF2"/>
    <w:rsid w:val="00DB0C6E"/>
    <w:rsid w:val="00DB0F9F"/>
    <w:rsid w:val="00DB5644"/>
    <w:rsid w:val="00DB587A"/>
    <w:rsid w:val="00DB797C"/>
    <w:rsid w:val="00DC62FE"/>
    <w:rsid w:val="00DC6EE4"/>
    <w:rsid w:val="00DD6D61"/>
    <w:rsid w:val="00DE067A"/>
    <w:rsid w:val="00DE7946"/>
    <w:rsid w:val="00DF02AC"/>
    <w:rsid w:val="00DF1EFB"/>
    <w:rsid w:val="00DF4634"/>
    <w:rsid w:val="00DF77FB"/>
    <w:rsid w:val="00DF7B6C"/>
    <w:rsid w:val="00E01B2A"/>
    <w:rsid w:val="00E03CBD"/>
    <w:rsid w:val="00E059A5"/>
    <w:rsid w:val="00E05E4E"/>
    <w:rsid w:val="00E061DF"/>
    <w:rsid w:val="00E07351"/>
    <w:rsid w:val="00E07540"/>
    <w:rsid w:val="00E10EC3"/>
    <w:rsid w:val="00E12ADC"/>
    <w:rsid w:val="00E151CF"/>
    <w:rsid w:val="00E164A1"/>
    <w:rsid w:val="00E17A63"/>
    <w:rsid w:val="00E21968"/>
    <w:rsid w:val="00E23FE1"/>
    <w:rsid w:val="00E250E0"/>
    <w:rsid w:val="00E25837"/>
    <w:rsid w:val="00E31DC4"/>
    <w:rsid w:val="00E34CD9"/>
    <w:rsid w:val="00E37175"/>
    <w:rsid w:val="00E37341"/>
    <w:rsid w:val="00E42FED"/>
    <w:rsid w:val="00E43009"/>
    <w:rsid w:val="00E45663"/>
    <w:rsid w:val="00E50AF8"/>
    <w:rsid w:val="00E53768"/>
    <w:rsid w:val="00E54B94"/>
    <w:rsid w:val="00E63359"/>
    <w:rsid w:val="00E6405F"/>
    <w:rsid w:val="00E644D6"/>
    <w:rsid w:val="00E650C3"/>
    <w:rsid w:val="00E72907"/>
    <w:rsid w:val="00E73078"/>
    <w:rsid w:val="00E749F3"/>
    <w:rsid w:val="00E75C5A"/>
    <w:rsid w:val="00E82296"/>
    <w:rsid w:val="00E850F9"/>
    <w:rsid w:val="00E8753F"/>
    <w:rsid w:val="00E95A02"/>
    <w:rsid w:val="00E96450"/>
    <w:rsid w:val="00E968B8"/>
    <w:rsid w:val="00EA096E"/>
    <w:rsid w:val="00EA2865"/>
    <w:rsid w:val="00EA5A27"/>
    <w:rsid w:val="00EA6E7C"/>
    <w:rsid w:val="00EB6070"/>
    <w:rsid w:val="00EB7C51"/>
    <w:rsid w:val="00EC05A4"/>
    <w:rsid w:val="00EC1366"/>
    <w:rsid w:val="00EC21BA"/>
    <w:rsid w:val="00EC4B60"/>
    <w:rsid w:val="00EC5EFE"/>
    <w:rsid w:val="00EC66D0"/>
    <w:rsid w:val="00ED2DCB"/>
    <w:rsid w:val="00ED3A8D"/>
    <w:rsid w:val="00ED53BF"/>
    <w:rsid w:val="00ED5AD4"/>
    <w:rsid w:val="00EE0ECB"/>
    <w:rsid w:val="00EE6C22"/>
    <w:rsid w:val="00EF08B9"/>
    <w:rsid w:val="00EF1F8A"/>
    <w:rsid w:val="00EF38C5"/>
    <w:rsid w:val="00EF6902"/>
    <w:rsid w:val="00F01019"/>
    <w:rsid w:val="00F01634"/>
    <w:rsid w:val="00F01C83"/>
    <w:rsid w:val="00F03F3D"/>
    <w:rsid w:val="00F0493F"/>
    <w:rsid w:val="00F04EF3"/>
    <w:rsid w:val="00F06E74"/>
    <w:rsid w:val="00F07A74"/>
    <w:rsid w:val="00F13398"/>
    <w:rsid w:val="00F141FF"/>
    <w:rsid w:val="00F1696C"/>
    <w:rsid w:val="00F16E9B"/>
    <w:rsid w:val="00F23EED"/>
    <w:rsid w:val="00F269E7"/>
    <w:rsid w:val="00F26D0A"/>
    <w:rsid w:val="00F31998"/>
    <w:rsid w:val="00F36317"/>
    <w:rsid w:val="00F370D1"/>
    <w:rsid w:val="00F421FF"/>
    <w:rsid w:val="00F45FCA"/>
    <w:rsid w:val="00F47DB8"/>
    <w:rsid w:val="00F50C2D"/>
    <w:rsid w:val="00F50DE8"/>
    <w:rsid w:val="00F51F7F"/>
    <w:rsid w:val="00F57049"/>
    <w:rsid w:val="00F612A6"/>
    <w:rsid w:val="00F64962"/>
    <w:rsid w:val="00F70371"/>
    <w:rsid w:val="00F709C7"/>
    <w:rsid w:val="00F73959"/>
    <w:rsid w:val="00F74113"/>
    <w:rsid w:val="00F74DDC"/>
    <w:rsid w:val="00F82BEF"/>
    <w:rsid w:val="00F84435"/>
    <w:rsid w:val="00F84EED"/>
    <w:rsid w:val="00F8562D"/>
    <w:rsid w:val="00F85AA8"/>
    <w:rsid w:val="00F91FD4"/>
    <w:rsid w:val="00F95595"/>
    <w:rsid w:val="00F96BA6"/>
    <w:rsid w:val="00FA10F5"/>
    <w:rsid w:val="00FA1BB7"/>
    <w:rsid w:val="00FA36E9"/>
    <w:rsid w:val="00FA3979"/>
    <w:rsid w:val="00FA4567"/>
    <w:rsid w:val="00FA55D6"/>
    <w:rsid w:val="00FB1526"/>
    <w:rsid w:val="00FB3DF3"/>
    <w:rsid w:val="00FC0949"/>
    <w:rsid w:val="00FC2D51"/>
    <w:rsid w:val="00FC35BF"/>
    <w:rsid w:val="00FC4082"/>
    <w:rsid w:val="00FC4C1A"/>
    <w:rsid w:val="00FC63DE"/>
    <w:rsid w:val="00FC6556"/>
    <w:rsid w:val="00FC6A32"/>
    <w:rsid w:val="00FD0A6E"/>
    <w:rsid w:val="00FD25BF"/>
    <w:rsid w:val="00FD52AF"/>
    <w:rsid w:val="00FD53EA"/>
    <w:rsid w:val="00FD6812"/>
    <w:rsid w:val="00FD7675"/>
    <w:rsid w:val="00FE4EE8"/>
    <w:rsid w:val="00FE549E"/>
    <w:rsid w:val="00FE58BD"/>
    <w:rsid w:val="00FF1155"/>
    <w:rsid w:val="00FF1529"/>
    <w:rsid w:val="00FF1985"/>
    <w:rsid w:val="00FF31CD"/>
    <w:rsid w:val="00FF5593"/>
    <w:rsid w:val="00FF7282"/>
    <w:rsid w:val="04DC667E"/>
    <w:rsid w:val="1F6905BC"/>
    <w:rsid w:val="20840E52"/>
    <w:rsid w:val="21F97FCD"/>
    <w:rsid w:val="65755D33"/>
    <w:rsid w:val="699002A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495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5D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25D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03AF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930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E6E30"/>
  </w:style>
  <w:style w:type="character" w:customStyle="1" w:styleId="NotedebasdepageCar">
    <w:name w:val="Note de bas de page Car"/>
    <w:basedOn w:val="Policepardfaut"/>
    <w:link w:val="Notedebasdepage"/>
    <w:uiPriority w:val="99"/>
    <w:rsid w:val="008E6E30"/>
  </w:style>
  <w:style w:type="character" w:styleId="Marquenotebasdepage">
    <w:name w:val="footnote reference"/>
    <w:basedOn w:val="Policepardfaut"/>
    <w:uiPriority w:val="99"/>
    <w:unhideWhenUsed/>
    <w:rsid w:val="008E6E30"/>
    <w:rPr>
      <w:vertAlign w:val="superscript"/>
    </w:rPr>
  </w:style>
  <w:style w:type="paragraph" w:styleId="NormalWeb">
    <w:name w:val="Normal (Web)"/>
    <w:basedOn w:val="Normal"/>
    <w:uiPriority w:val="99"/>
    <w:semiHidden/>
    <w:unhideWhenUsed/>
    <w:rsid w:val="00FC2D51"/>
    <w:rPr>
      <w:rFonts w:ascii="Times New Roman" w:hAnsi="Times New Roman"/>
    </w:rPr>
  </w:style>
  <w:style w:type="paragraph" w:styleId="Paragraphedeliste">
    <w:name w:val="List Paragraph"/>
    <w:basedOn w:val="Normal"/>
    <w:uiPriority w:val="34"/>
    <w:qFormat/>
    <w:rsid w:val="0008594A"/>
    <w:pPr>
      <w:ind w:left="720"/>
      <w:contextualSpacing/>
    </w:pPr>
  </w:style>
  <w:style w:type="paragraph" w:styleId="En-tte">
    <w:name w:val="header"/>
    <w:basedOn w:val="Normal"/>
    <w:link w:val="En-tteCar"/>
    <w:uiPriority w:val="99"/>
    <w:unhideWhenUsed/>
    <w:rsid w:val="0039117E"/>
    <w:pPr>
      <w:tabs>
        <w:tab w:val="center" w:pos="4536"/>
        <w:tab w:val="right" w:pos="9072"/>
      </w:tabs>
    </w:pPr>
  </w:style>
  <w:style w:type="character" w:customStyle="1" w:styleId="En-tteCar">
    <w:name w:val="En-tête Car"/>
    <w:basedOn w:val="Policepardfaut"/>
    <w:link w:val="En-tte"/>
    <w:uiPriority w:val="99"/>
    <w:rsid w:val="0039117E"/>
  </w:style>
  <w:style w:type="paragraph" w:styleId="Pieddepage">
    <w:name w:val="footer"/>
    <w:basedOn w:val="Normal"/>
    <w:link w:val="PieddepageCar"/>
    <w:uiPriority w:val="99"/>
    <w:unhideWhenUsed/>
    <w:rsid w:val="0039117E"/>
    <w:pPr>
      <w:tabs>
        <w:tab w:val="center" w:pos="4536"/>
        <w:tab w:val="right" w:pos="9072"/>
      </w:tabs>
    </w:pPr>
  </w:style>
  <w:style w:type="character" w:customStyle="1" w:styleId="PieddepageCar">
    <w:name w:val="Pied de page Car"/>
    <w:basedOn w:val="Policepardfaut"/>
    <w:link w:val="Pieddepage"/>
    <w:uiPriority w:val="99"/>
    <w:rsid w:val="0039117E"/>
  </w:style>
  <w:style w:type="character" w:styleId="Numrodepage">
    <w:name w:val="page number"/>
    <w:basedOn w:val="Policepardfaut"/>
    <w:uiPriority w:val="99"/>
    <w:semiHidden/>
    <w:unhideWhenUsed/>
    <w:rsid w:val="00DF1EFB"/>
  </w:style>
  <w:style w:type="paragraph" w:styleId="Sous-titre">
    <w:name w:val="Subtitle"/>
    <w:basedOn w:val="Normal"/>
    <w:next w:val="Normal"/>
    <w:link w:val="Sous-titreCar"/>
    <w:uiPriority w:val="11"/>
    <w:qFormat/>
    <w:rsid w:val="00DF7B6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F7B6C"/>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uiPriority w:val="9"/>
    <w:rsid w:val="00525D7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25D7F"/>
    <w:rPr>
      <w:rFonts w:asciiTheme="majorHAnsi" w:eastAsiaTheme="majorEastAsia" w:hAnsiTheme="majorHAnsi" w:cstheme="majorBidi"/>
      <w:color w:val="365F91" w:themeColor="accent1" w:themeShade="BF"/>
      <w:sz w:val="26"/>
      <w:szCs w:val="26"/>
    </w:rPr>
  </w:style>
  <w:style w:type="character" w:customStyle="1" w:styleId="Titre4Car">
    <w:name w:val="Titre 4 Car"/>
    <w:basedOn w:val="Policepardfaut"/>
    <w:link w:val="Titre4"/>
    <w:uiPriority w:val="9"/>
    <w:rsid w:val="00D930B2"/>
    <w:rPr>
      <w:rFonts w:asciiTheme="majorHAnsi" w:eastAsiaTheme="majorEastAsia" w:hAnsiTheme="majorHAnsi" w:cstheme="majorBidi"/>
      <w:i/>
      <w:iCs/>
      <w:color w:val="365F91" w:themeColor="accent1" w:themeShade="BF"/>
    </w:rPr>
  </w:style>
  <w:style w:type="paragraph" w:styleId="Date">
    <w:name w:val="Date"/>
    <w:basedOn w:val="Normal"/>
    <w:next w:val="Normal"/>
    <w:link w:val="DateCar"/>
    <w:uiPriority w:val="99"/>
    <w:semiHidden/>
    <w:unhideWhenUsed/>
    <w:rsid w:val="00D61BE7"/>
  </w:style>
  <w:style w:type="character" w:customStyle="1" w:styleId="DateCar">
    <w:name w:val="Date Car"/>
    <w:basedOn w:val="Policepardfaut"/>
    <w:link w:val="Date"/>
    <w:uiPriority w:val="99"/>
    <w:semiHidden/>
    <w:rsid w:val="00D61BE7"/>
  </w:style>
  <w:style w:type="paragraph" w:styleId="En-ttedetabledesmatires">
    <w:name w:val="TOC Heading"/>
    <w:basedOn w:val="Titre1"/>
    <w:next w:val="Normal"/>
    <w:uiPriority w:val="39"/>
    <w:unhideWhenUsed/>
    <w:qFormat/>
    <w:rsid w:val="00D61BE7"/>
    <w:pPr>
      <w:spacing w:line="259" w:lineRule="auto"/>
      <w:outlineLvl w:val="9"/>
    </w:pPr>
    <w:rPr>
      <w:lang w:eastAsia="ko-KR"/>
    </w:rPr>
  </w:style>
  <w:style w:type="paragraph" w:styleId="TM1">
    <w:name w:val="toc 1"/>
    <w:basedOn w:val="Normal"/>
    <w:next w:val="Normal"/>
    <w:autoRedefine/>
    <w:uiPriority w:val="39"/>
    <w:unhideWhenUsed/>
    <w:rsid w:val="00D61BE7"/>
    <w:pPr>
      <w:spacing w:after="100"/>
    </w:pPr>
  </w:style>
  <w:style w:type="paragraph" w:styleId="TM2">
    <w:name w:val="toc 2"/>
    <w:basedOn w:val="Normal"/>
    <w:next w:val="Normal"/>
    <w:autoRedefine/>
    <w:uiPriority w:val="39"/>
    <w:unhideWhenUsed/>
    <w:rsid w:val="001958A7"/>
    <w:pPr>
      <w:tabs>
        <w:tab w:val="right" w:leader="dot" w:pos="9394"/>
      </w:tabs>
      <w:spacing w:after="100" w:line="360" w:lineRule="auto"/>
      <w:ind w:left="240"/>
    </w:pPr>
  </w:style>
  <w:style w:type="character" w:styleId="Lienhypertexte">
    <w:name w:val="Hyperlink"/>
    <w:basedOn w:val="Policepardfaut"/>
    <w:uiPriority w:val="99"/>
    <w:unhideWhenUsed/>
    <w:rsid w:val="00D61BE7"/>
    <w:rPr>
      <w:color w:val="0000FF" w:themeColor="hyperlink"/>
      <w:u w:val="single"/>
    </w:rPr>
  </w:style>
  <w:style w:type="paragraph" w:styleId="TM3">
    <w:name w:val="toc 3"/>
    <w:basedOn w:val="Normal"/>
    <w:next w:val="Normal"/>
    <w:autoRedefine/>
    <w:uiPriority w:val="39"/>
    <w:unhideWhenUsed/>
    <w:rsid w:val="004B3679"/>
    <w:pPr>
      <w:tabs>
        <w:tab w:val="right" w:leader="dot" w:pos="9394"/>
      </w:tabs>
      <w:spacing w:line="480" w:lineRule="auto"/>
      <w:ind w:left="440"/>
      <w:jc w:val="both"/>
    </w:pPr>
    <w:rPr>
      <w:rFonts w:cs="Times New Roman"/>
      <w:sz w:val="22"/>
      <w:szCs w:val="22"/>
      <w:lang w:eastAsia="ko-KR"/>
    </w:rPr>
  </w:style>
  <w:style w:type="paragraph" w:styleId="Listepuces">
    <w:name w:val="List Bullet"/>
    <w:basedOn w:val="Normal"/>
    <w:uiPriority w:val="99"/>
    <w:unhideWhenUsed/>
    <w:rsid w:val="00D33340"/>
    <w:pPr>
      <w:numPr>
        <w:numId w:val="19"/>
      </w:numPr>
      <w:contextualSpacing/>
    </w:pPr>
  </w:style>
  <w:style w:type="paragraph" w:styleId="Textedebulles">
    <w:name w:val="Balloon Text"/>
    <w:basedOn w:val="Normal"/>
    <w:link w:val="TextedebullesCar"/>
    <w:uiPriority w:val="99"/>
    <w:semiHidden/>
    <w:unhideWhenUsed/>
    <w:rsid w:val="00F370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70D1"/>
    <w:rPr>
      <w:rFonts w:ascii="Lucida Grande" w:hAnsi="Lucida Grande" w:cs="Lucida Grande"/>
      <w:sz w:val="18"/>
      <w:szCs w:val="18"/>
    </w:rPr>
  </w:style>
  <w:style w:type="character" w:styleId="Marquedannotation">
    <w:name w:val="annotation reference"/>
    <w:basedOn w:val="Policepardfaut"/>
    <w:uiPriority w:val="99"/>
    <w:semiHidden/>
    <w:unhideWhenUsed/>
    <w:rsid w:val="009817EA"/>
    <w:rPr>
      <w:sz w:val="16"/>
      <w:szCs w:val="16"/>
    </w:rPr>
  </w:style>
  <w:style w:type="paragraph" w:styleId="Commentaire">
    <w:name w:val="annotation text"/>
    <w:basedOn w:val="Normal"/>
    <w:link w:val="CommentaireCar"/>
    <w:uiPriority w:val="99"/>
    <w:semiHidden/>
    <w:unhideWhenUsed/>
    <w:rsid w:val="009817EA"/>
    <w:rPr>
      <w:sz w:val="20"/>
      <w:szCs w:val="20"/>
    </w:rPr>
  </w:style>
  <w:style w:type="character" w:customStyle="1" w:styleId="CommentaireCar">
    <w:name w:val="Commentaire Car"/>
    <w:basedOn w:val="Policepardfaut"/>
    <w:link w:val="Commentaire"/>
    <w:uiPriority w:val="99"/>
    <w:semiHidden/>
    <w:rsid w:val="009817EA"/>
    <w:rPr>
      <w:sz w:val="20"/>
      <w:szCs w:val="20"/>
    </w:rPr>
  </w:style>
  <w:style w:type="paragraph" w:styleId="Objetducommentaire">
    <w:name w:val="annotation subject"/>
    <w:basedOn w:val="Commentaire"/>
    <w:next w:val="Commentaire"/>
    <w:link w:val="ObjetducommentaireCar"/>
    <w:uiPriority w:val="99"/>
    <w:semiHidden/>
    <w:unhideWhenUsed/>
    <w:rsid w:val="009817EA"/>
    <w:rPr>
      <w:b/>
      <w:bCs/>
    </w:rPr>
  </w:style>
  <w:style w:type="character" w:customStyle="1" w:styleId="ObjetducommentaireCar">
    <w:name w:val="Objet du commentaire Car"/>
    <w:basedOn w:val="CommentaireCar"/>
    <w:link w:val="Objetducommentaire"/>
    <w:uiPriority w:val="99"/>
    <w:semiHidden/>
    <w:rsid w:val="009817EA"/>
    <w:rPr>
      <w:b/>
      <w:bCs/>
      <w:sz w:val="20"/>
      <w:szCs w:val="20"/>
    </w:rPr>
  </w:style>
  <w:style w:type="character" w:customStyle="1" w:styleId="Titre3Car">
    <w:name w:val="Titre 3 Car"/>
    <w:basedOn w:val="Policepardfaut"/>
    <w:link w:val="Titre3"/>
    <w:uiPriority w:val="9"/>
    <w:rsid w:val="00103AFE"/>
    <w:rPr>
      <w:rFonts w:asciiTheme="majorHAnsi" w:eastAsiaTheme="majorEastAsia" w:hAnsiTheme="majorHAnsi" w:cstheme="majorBidi"/>
      <w:b/>
      <w:bCs/>
      <w:color w:val="4F81BD" w:themeColor="accent1"/>
    </w:rPr>
  </w:style>
  <w:style w:type="paragraph" w:styleId="Explorateurdedocument">
    <w:name w:val="Document Map"/>
    <w:basedOn w:val="Normal"/>
    <w:link w:val="ExplorateurdedocumentCar"/>
    <w:uiPriority w:val="99"/>
    <w:semiHidden/>
    <w:unhideWhenUsed/>
    <w:rsid w:val="00D6628D"/>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D6628D"/>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5D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25D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03AF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930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E6E30"/>
  </w:style>
  <w:style w:type="character" w:customStyle="1" w:styleId="NotedebasdepageCar">
    <w:name w:val="Note de bas de page Car"/>
    <w:basedOn w:val="Policepardfaut"/>
    <w:link w:val="Notedebasdepage"/>
    <w:uiPriority w:val="99"/>
    <w:rsid w:val="008E6E30"/>
  </w:style>
  <w:style w:type="character" w:styleId="Marquenotebasdepage">
    <w:name w:val="footnote reference"/>
    <w:basedOn w:val="Policepardfaut"/>
    <w:uiPriority w:val="99"/>
    <w:unhideWhenUsed/>
    <w:rsid w:val="008E6E30"/>
    <w:rPr>
      <w:vertAlign w:val="superscript"/>
    </w:rPr>
  </w:style>
  <w:style w:type="paragraph" w:styleId="NormalWeb">
    <w:name w:val="Normal (Web)"/>
    <w:basedOn w:val="Normal"/>
    <w:uiPriority w:val="99"/>
    <w:semiHidden/>
    <w:unhideWhenUsed/>
    <w:rsid w:val="00FC2D51"/>
    <w:rPr>
      <w:rFonts w:ascii="Times New Roman" w:hAnsi="Times New Roman"/>
    </w:rPr>
  </w:style>
  <w:style w:type="paragraph" w:styleId="Paragraphedeliste">
    <w:name w:val="List Paragraph"/>
    <w:basedOn w:val="Normal"/>
    <w:uiPriority w:val="34"/>
    <w:qFormat/>
    <w:rsid w:val="0008594A"/>
    <w:pPr>
      <w:ind w:left="720"/>
      <w:contextualSpacing/>
    </w:pPr>
  </w:style>
  <w:style w:type="paragraph" w:styleId="En-tte">
    <w:name w:val="header"/>
    <w:basedOn w:val="Normal"/>
    <w:link w:val="En-tteCar"/>
    <w:uiPriority w:val="99"/>
    <w:unhideWhenUsed/>
    <w:rsid w:val="0039117E"/>
    <w:pPr>
      <w:tabs>
        <w:tab w:val="center" w:pos="4536"/>
        <w:tab w:val="right" w:pos="9072"/>
      </w:tabs>
    </w:pPr>
  </w:style>
  <w:style w:type="character" w:customStyle="1" w:styleId="En-tteCar">
    <w:name w:val="En-tête Car"/>
    <w:basedOn w:val="Policepardfaut"/>
    <w:link w:val="En-tte"/>
    <w:uiPriority w:val="99"/>
    <w:rsid w:val="0039117E"/>
  </w:style>
  <w:style w:type="paragraph" w:styleId="Pieddepage">
    <w:name w:val="footer"/>
    <w:basedOn w:val="Normal"/>
    <w:link w:val="PieddepageCar"/>
    <w:uiPriority w:val="99"/>
    <w:unhideWhenUsed/>
    <w:rsid w:val="0039117E"/>
    <w:pPr>
      <w:tabs>
        <w:tab w:val="center" w:pos="4536"/>
        <w:tab w:val="right" w:pos="9072"/>
      </w:tabs>
    </w:pPr>
  </w:style>
  <w:style w:type="character" w:customStyle="1" w:styleId="PieddepageCar">
    <w:name w:val="Pied de page Car"/>
    <w:basedOn w:val="Policepardfaut"/>
    <w:link w:val="Pieddepage"/>
    <w:uiPriority w:val="99"/>
    <w:rsid w:val="0039117E"/>
  </w:style>
  <w:style w:type="character" w:styleId="Numrodepage">
    <w:name w:val="page number"/>
    <w:basedOn w:val="Policepardfaut"/>
    <w:uiPriority w:val="99"/>
    <w:semiHidden/>
    <w:unhideWhenUsed/>
    <w:rsid w:val="00DF1EFB"/>
  </w:style>
  <w:style w:type="paragraph" w:styleId="Sous-titre">
    <w:name w:val="Subtitle"/>
    <w:basedOn w:val="Normal"/>
    <w:next w:val="Normal"/>
    <w:link w:val="Sous-titreCar"/>
    <w:uiPriority w:val="11"/>
    <w:qFormat/>
    <w:rsid w:val="00DF7B6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F7B6C"/>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uiPriority w:val="9"/>
    <w:rsid w:val="00525D7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25D7F"/>
    <w:rPr>
      <w:rFonts w:asciiTheme="majorHAnsi" w:eastAsiaTheme="majorEastAsia" w:hAnsiTheme="majorHAnsi" w:cstheme="majorBidi"/>
      <w:color w:val="365F91" w:themeColor="accent1" w:themeShade="BF"/>
      <w:sz w:val="26"/>
      <w:szCs w:val="26"/>
    </w:rPr>
  </w:style>
  <w:style w:type="character" w:customStyle="1" w:styleId="Titre4Car">
    <w:name w:val="Titre 4 Car"/>
    <w:basedOn w:val="Policepardfaut"/>
    <w:link w:val="Titre4"/>
    <w:uiPriority w:val="9"/>
    <w:rsid w:val="00D930B2"/>
    <w:rPr>
      <w:rFonts w:asciiTheme="majorHAnsi" w:eastAsiaTheme="majorEastAsia" w:hAnsiTheme="majorHAnsi" w:cstheme="majorBidi"/>
      <w:i/>
      <w:iCs/>
      <w:color w:val="365F91" w:themeColor="accent1" w:themeShade="BF"/>
    </w:rPr>
  </w:style>
  <w:style w:type="paragraph" w:styleId="Date">
    <w:name w:val="Date"/>
    <w:basedOn w:val="Normal"/>
    <w:next w:val="Normal"/>
    <w:link w:val="DateCar"/>
    <w:uiPriority w:val="99"/>
    <w:semiHidden/>
    <w:unhideWhenUsed/>
    <w:rsid w:val="00D61BE7"/>
  </w:style>
  <w:style w:type="character" w:customStyle="1" w:styleId="DateCar">
    <w:name w:val="Date Car"/>
    <w:basedOn w:val="Policepardfaut"/>
    <w:link w:val="Date"/>
    <w:uiPriority w:val="99"/>
    <w:semiHidden/>
    <w:rsid w:val="00D61BE7"/>
  </w:style>
  <w:style w:type="paragraph" w:styleId="En-ttedetabledesmatires">
    <w:name w:val="TOC Heading"/>
    <w:basedOn w:val="Titre1"/>
    <w:next w:val="Normal"/>
    <w:uiPriority w:val="39"/>
    <w:unhideWhenUsed/>
    <w:qFormat/>
    <w:rsid w:val="00D61BE7"/>
    <w:pPr>
      <w:spacing w:line="259" w:lineRule="auto"/>
      <w:outlineLvl w:val="9"/>
    </w:pPr>
    <w:rPr>
      <w:lang w:eastAsia="ko-KR"/>
    </w:rPr>
  </w:style>
  <w:style w:type="paragraph" w:styleId="TM1">
    <w:name w:val="toc 1"/>
    <w:basedOn w:val="Normal"/>
    <w:next w:val="Normal"/>
    <w:autoRedefine/>
    <w:uiPriority w:val="39"/>
    <w:unhideWhenUsed/>
    <w:rsid w:val="00D61BE7"/>
    <w:pPr>
      <w:spacing w:after="100"/>
    </w:pPr>
  </w:style>
  <w:style w:type="paragraph" w:styleId="TM2">
    <w:name w:val="toc 2"/>
    <w:basedOn w:val="Normal"/>
    <w:next w:val="Normal"/>
    <w:autoRedefine/>
    <w:uiPriority w:val="39"/>
    <w:unhideWhenUsed/>
    <w:rsid w:val="001958A7"/>
    <w:pPr>
      <w:tabs>
        <w:tab w:val="right" w:leader="dot" w:pos="9394"/>
      </w:tabs>
      <w:spacing w:after="100" w:line="360" w:lineRule="auto"/>
      <w:ind w:left="240"/>
    </w:pPr>
  </w:style>
  <w:style w:type="character" w:styleId="Lienhypertexte">
    <w:name w:val="Hyperlink"/>
    <w:basedOn w:val="Policepardfaut"/>
    <w:uiPriority w:val="99"/>
    <w:unhideWhenUsed/>
    <w:rsid w:val="00D61BE7"/>
    <w:rPr>
      <w:color w:val="0000FF" w:themeColor="hyperlink"/>
      <w:u w:val="single"/>
    </w:rPr>
  </w:style>
  <w:style w:type="paragraph" w:styleId="TM3">
    <w:name w:val="toc 3"/>
    <w:basedOn w:val="Normal"/>
    <w:next w:val="Normal"/>
    <w:autoRedefine/>
    <w:uiPriority w:val="39"/>
    <w:unhideWhenUsed/>
    <w:rsid w:val="004B3679"/>
    <w:pPr>
      <w:tabs>
        <w:tab w:val="right" w:leader="dot" w:pos="9394"/>
      </w:tabs>
      <w:spacing w:line="480" w:lineRule="auto"/>
      <w:ind w:left="440"/>
      <w:jc w:val="both"/>
    </w:pPr>
    <w:rPr>
      <w:rFonts w:cs="Times New Roman"/>
      <w:sz w:val="22"/>
      <w:szCs w:val="22"/>
      <w:lang w:eastAsia="ko-KR"/>
    </w:rPr>
  </w:style>
  <w:style w:type="paragraph" w:styleId="Listepuces">
    <w:name w:val="List Bullet"/>
    <w:basedOn w:val="Normal"/>
    <w:uiPriority w:val="99"/>
    <w:unhideWhenUsed/>
    <w:rsid w:val="00D33340"/>
    <w:pPr>
      <w:numPr>
        <w:numId w:val="19"/>
      </w:numPr>
      <w:contextualSpacing/>
    </w:pPr>
  </w:style>
  <w:style w:type="paragraph" w:styleId="Textedebulles">
    <w:name w:val="Balloon Text"/>
    <w:basedOn w:val="Normal"/>
    <w:link w:val="TextedebullesCar"/>
    <w:uiPriority w:val="99"/>
    <w:semiHidden/>
    <w:unhideWhenUsed/>
    <w:rsid w:val="00F370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70D1"/>
    <w:rPr>
      <w:rFonts w:ascii="Lucida Grande" w:hAnsi="Lucida Grande" w:cs="Lucida Grande"/>
      <w:sz w:val="18"/>
      <w:szCs w:val="18"/>
    </w:rPr>
  </w:style>
  <w:style w:type="character" w:styleId="Marquedannotation">
    <w:name w:val="annotation reference"/>
    <w:basedOn w:val="Policepardfaut"/>
    <w:uiPriority w:val="99"/>
    <w:semiHidden/>
    <w:unhideWhenUsed/>
    <w:rsid w:val="009817EA"/>
    <w:rPr>
      <w:sz w:val="16"/>
      <w:szCs w:val="16"/>
    </w:rPr>
  </w:style>
  <w:style w:type="paragraph" w:styleId="Commentaire">
    <w:name w:val="annotation text"/>
    <w:basedOn w:val="Normal"/>
    <w:link w:val="CommentaireCar"/>
    <w:uiPriority w:val="99"/>
    <w:semiHidden/>
    <w:unhideWhenUsed/>
    <w:rsid w:val="009817EA"/>
    <w:rPr>
      <w:sz w:val="20"/>
      <w:szCs w:val="20"/>
    </w:rPr>
  </w:style>
  <w:style w:type="character" w:customStyle="1" w:styleId="CommentaireCar">
    <w:name w:val="Commentaire Car"/>
    <w:basedOn w:val="Policepardfaut"/>
    <w:link w:val="Commentaire"/>
    <w:uiPriority w:val="99"/>
    <w:semiHidden/>
    <w:rsid w:val="009817EA"/>
    <w:rPr>
      <w:sz w:val="20"/>
      <w:szCs w:val="20"/>
    </w:rPr>
  </w:style>
  <w:style w:type="paragraph" w:styleId="Objetducommentaire">
    <w:name w:val="annotation subject"/>
    <w:basedOn w:val="Commentaire"/>
    <w:next w:val="Commentaire"/>
    <w:link w:val="ObjetducommentaireCar"/>
    <w:uiPriority w:val="99"/>
    <w:semiHidden/>
    <w:unhideWhenUsed/>
    <w:rsid w:val="009817EA"/>
    <w:rPr>
      <w:b/>
      <w:bCs/>
    </w:rPr>
  </w:style>
  <w:style w:type="character" w:customStyle="1" w:styleId="ObjetducommentaireCar">
    <w:name w:val="Objet du commentaire Car"/>
    <w:basedOn w:val="CommentaireCar"/>
    <w:link w:val="Objetducommentaire"/>
    <w:uiPriority w:val="99"/>
    <w:semiHidden/>
    <w:rsid w:val="009817EA"/>
    <w:rPr>
      <w:b/>
      <w:bCs/>
      <w:sz w:val="20"/>
      <w:szCs w:val="20"/>
    </w:rPr>
  </w:style>
  <w:style w:type="character" w:customStyle="1" w:styleId="Titre3Car">
    <w:name w:val="Titre 3 Car"/>
    <w:basedOn w:val="Policepardfaut"/>
    <w:link w:val="Titre3"/>
    <w:uiPriority w:val="9"/>
    <w:rsid w:val="00103AFE"/>
    <w:rPr>
      <w:rFonts w:asciiTheme="majorHAnsi" w:eastAsiaTheme="majorEastAsia" w:hAnsiTheme="majorHAnsi" w:cstheme="majorBidi"/>
      <w:b/>
      <w:bCs/>
      <w:color w:val="4F81BD" w:themeColor="accent1"/>
    </w:rPr>
  </w:style>
  <w:style w:type="paragraph" w:styleId="Explorateurdedocument">
    <w:name w:val="Document Map"/>
    <w:basedOn w:val="Normal"/>
    <w:link w:val="ExplorateurdedocumentCar"/>
    <w:uiPriority w:val="99"/>
    <w:semiHidden/>
    <w:unhideWhenUsed/>
    <w:rsid w:val="00D6628D"/>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D6628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692">
      <w:bodyDiv w:val="1"/>
      <w:marLeft w:val="0"/>
      <w:marRight w:val="0"/>
      <w:marTop w:val="0"/>
      <w:marBottom w:val="0"/>
      <w:divBdr>
        <w:top w:val="none" w:sz="0" w:space="0" w:color="auto"/>
        <w:left w:val="none" w:sz="0" w:space="0" w:color="auto"/>
        <w:bottom w:val="none" w:sz="0" w:space="0" w:color="auto"/>
        <w:right w:val="none" w:sz="0" w:space="0" w:color="auto"/>
      </w:divBdr>
    </w:div>
    <w:div w:id="128136342">
      <w:bodyDiv w:val="1"/>
      <w:marLeft w:val="0"/>
      <w:marRight w:val="0"/>
      <w:marTop w:val="0"/>
      <w:marBottom w:val="0"/>
      <w:divBdr>
        <w:top w:val="none" w:sz="0" w:space="0" w:color="auto"/>
        <w:left w:val="none" w:sz="0" w:space="0" w:color="auto"/>
        <w:bottom w:val="none" w:sz="0" w:space="0" w:color="auto"/>
        <w:right w:val="none" w:sz="0" w:space="0" w:color="auto"/>
      </w:divBdr>
      <w:divsChild>
        <w:div w:id="1357853179">
          <w:marLeft w:val="0"/>
          <w:marRight w:val="0"/>
          <w:marTop w:val="0"/>
          <w:marBottom w:val="0"/>
          <w:divBdr>
            <w:top w:val="none" w:sz="0" w:space="0" w:color="auto"/>
            <w:left w:val="none" w:sz="0" w:space="0" w:color="auto"/>
            <w:bottom w:val="none" w:sz="0" w:space="0" w:color="auto"/>
            <w:right w:val="none" w:sz="0" w:space="0" w:color="auto"/>
          </w:divBdr>
          <w:divsChild>
            <w:div w:id="1094862441">
              <w:marLeft w:val="0"/>
              <w:marRight w:val="0"/>
              <w:marTop w:val="0"/>
              <w:marBottom w:val="0"/>
              <w:divBdr>
                <w:top w:val="none" w:sz="0" w:space="0" w:color="auto"/>
                <w:left w:val="none" w:sz="0" w:space="0" w:color="auto"/>
                <w:bottom w:val="none" w:sz="0" w:space="0" w:color="auto"/>
                <w:right w:val="none" w:sz="0" w:space="0" w:color="auto"/>
              </w:divBdr>
              <w:divsChild>
                <w:div w:id="11482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98336">
      <w:bodyDiv w:val="1"/>
      <w:marLeft w:val="0"/>
      <w:marRight w:val="0"/>
      <w:marTop w:val="0"/>
      <w:marBottom w:val="0"/>
      <w:divBdr>
        <w:top w:val="none" w:sz="0" w:space="0" w:color="auto"/>
        <w:left w:val="none" w:sz="0" w:space="0" w:color="auto"/>
        <w:bottom w:val="none" w:sz="0" w:space="0" w:color="auto"/>
        <w:right w:val="none" w:sz="0" w:space="0" w:color="auto"/>
      </w:divBdr>
      <w:divsChild>
        <w:div w:id="1482117253">
          <w:marLeft w:val="0"/>
          <w:marRight w:val="0"/>
          <w:marTop w:val="0"/>
          <w:marBottom w:val="0"/>
          <w:divBdr>
            <w:top w:val="none" w:sz="0" w:space="0" w:color="auto"/>
            <w:left w:val="none" w:sz="0" w:space="0" w:color="auto"/>
            <w:bottom w:val="none" w:sz="0" w:space="0" w:color="auto"/>
            <w:right w:val="none" w:sz="0" w:space="0" w:color="auto"/>
          </w:divBdr>
          <w:divsChild>
            <w:div w:id="123281813">
              <w:marLeft w:val="0"/>
              <w:marRight w:val="0"/>
              <w:marTop w:val="0"/>
              <w:marBottom w:val="0"/>
              <w:divBdr>
                <w:top w:val="none" w:sz="0" w:space="0" w:color="auto"/>
                <w:left w:val="none" w:sz="0" w:space="0" w:color="auto"/>
                <w:bottom w:val="none" w:sz="0" w:space="0" w:color="auto"/>
                <w:right w:val="none" w:sz="0" w:space="0" w:color="auto"/>
              </w:divBdr>
              <w:divsChild>
                <w:div w:id="4809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261">
      <w:bodyDiv w:val="1"/>
      <w:marLeft w:val="0"/>
      <w:marRight w:val="0"/>
      <w:marTop w:val="0"/>
      <w:marBottom w:val="0"/>
      <w:divBdr>
        <w:top w:val="none" w:sz="0" w:space="0" w:color="auto"/>
        <w:left w:val="none" w:sz="0" w:space="0" w:color="auto"/>
        <w:bottom w:val="none" w:sz="0" w:space="0" w:color="auto"/>
        <w:right w:val="none" w:sz="0" w:space="0" w:color="auto"/>
      </w:divBdr>
      <w:divsChild>
        <w:div w:id="1385985994">
          <w:marLeft w:val="0"/>
          <w:marRight w:val="0"/>
          <w:marTop w:val="0"/>
          <w:marBottom w:val="0"/>
          <w:divBdr>
            <w:top w:val="none" w:sz="0" w:space="0" w:color="auto"/>
            <w:left w:val="none" w:sz="0" w:space="0" w:color="auto"/>
            <w:bottom w:val="none" w:sz="0" w:space="0" w:color="auto"/>
            <w:right w:val="none" w:sz="0" w:space="0" w:color="auto"/>
          </w:divBdr>
          <w:divsChild>
            <w:div w:id="1896159039">
              <w:marLeft w:val="0"/>
              <w:marRight w:val="0"/>
              <w:marTop w:val="0"/>
              <w:marBottom w:val="0"/>
              <w:divBdr>
                <w:top w:val="none" w:sz="0" w:space="0" w:color="auto"/>
                <w:left w:val="none" w:sz="0" w:space="0" w:color="auto"/>
                <w:bottom w:val="none" w:sz="0" w:space="0" w:color="auto"/>
                <w:right w:val="none" w:sz="0" w:space="0" w:color="auto"/>
              </w:divBdr>
              <w:divsChild>
                <w:div w:id="11640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98412">
      <w:bodyDiv w:val="1"/>
      <w:marLeft w:val="0"/>
      <w:marRight w:val="0"/>
      <w:marTop w:val="0"/>
      <w:marBottom w:val="0"/>
      <w:divBdr>
        <w:top w:val="none" w:sz="0" w:space="0" w:color="auto"/>
        <w:left w:val="none" w:sz="0" w:space="0" w:color="auto"/>
        <w:bottom w:val="none" w:sz="0" w:space="0" w:color="auto"/>
        <w:right w:val="none" w:sz="0" w:space="0" w:color="auto"/>
      </w:divBdr>
      <w:divsChild>
        <w:div w:id="516845950">
          <w:marLeft w:val="0"/>
          <w:marRight w:val="0"/>
          <w:marTop w:val="0"/>
          <w:marBottom w:val="0"/>
          <w:divBdr>
            <w:top w:val="none" w:sz="0" w:space="0" w:color="auto"/>
            <w:left w:val="none" w:sz="0" w:space="0" w:color="auto"/>
            <w:bottom w:val="none" w:sz="0" w:space="0" w:color="auto"/>
            <w:right w:val="none" w:sz="0" w:space="0" w:color="auto"/>
          </w:divBdr>
          <w:divsChild>
            <w:div w:id="1401631545">
              <w:marLeft w:val="0"/>
              <w:marRight w:val="0"/>
              <w:marTop w:val="0"/>
              <w:marBottom w:val="0"/>
              <w:divBdr>
                <w:top w:val="none" w:sz="0" w:space="0" w:color="auto"/>
                <w:left w:val="none" w:sz="0" w:space="0" w:color="auto"/>
                <w:bottom w:val="none" w:sz="0" w:space="0" w:color="auto"/>
                <w:right w:val="none" w:sz="0" w:space="0" w:color="auto"/>
              </w:divBdr>
              <w:divsChild>
                <w:div w:id="1129860120">
                  <w:marLeft w:val="0"/>
                  <w:marRight w:val="0"/>
                  <w:marTop w:val="0"/>
                  <w:marBottom w:val="0"/>
                  <w:divBdr>
                    <w:top w:val="none" w:sz="0" w:space="0" w:color="auto"/>
                    <w:left w:val="none" w:sz="0" w:space="0" w:color="auto"/>
                    <w:bottom w:val="none" w:sz="0" w:space="0" w:color="auto"/>
                    <w:right w:val="none" w:sz="0" w:space="0" w:color="auto"/>
                  </w:divBdr>
                  <w:divsChild>
                    <w:div w:id="9810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9294">
      <w:bodyDiv w:val="1"/>
      <w:marLeft w:val="0"/>
      <w:marRight w:val="0"/>
      <w:marTop w:val="0"/>
      <w:marBottom w:val="0"/>
      <w:divBdr>
        <w:top w:val="none" w:sz="0" w:space="0" w:color="auto"/>
        <w:left w:val="none" w:sz="0" w:space="0" w:color="auto"/>
        <w:bottom w:val="none" w:sz="0" w:space="0" w:color="auto"/>
        <w:right w:val="none" w:sz="0" w:space="0" w:color="auto"/>
      </w:divBdr>
    </w:div>
    <w:div w:id="614093476">
      <w:bodyDiv w:val="1"/>
      <w:marLeft w:val="0"/>
      <w:marRight w:val="0"/>
      <w:marTop w:val="0"/>
      <w:marBottom w:val="0"/>
      <w:divBdr>
        <w:top w:val="none" w:sz="0" w:space="0" w:color="auto"/>
        <w:left w:val="none" w:sz="0" w:space="0" w:color="auto"/>
        <w:bottom w:val="none" w:sz="0" w:space="0" w:color="auto"/>
        <w:right w:val="none" w:sz="0" w:space="0" w:color="auto"/>
      </w:divBdr>
    </w:div>
    <w:div w:id="909853074">
      <w:bodyDiv w:val="1"/>
      <w:marLeft w:val="0"/>
      <w:marRight w:val="0"/>
      <w:marTop w:val="0"/>
      <w:marBottom w:val="0"/>
      <w:divBdr>
        <w:top w:val="none" w:sz="0" w:space="0" w:color="auto"/>
        <w:left w:val="none" w:sz="0" w:space="0" w:color="auto"/>
        <w:bottom w:val="none" w:sz="0" w:space="0" w:color="auto"/>
        <w:right w:val="none" w:sz="0" w:space="0" w:color="auto"/>
      </w:divBdr>
      <w:divsChild>
        <w:div w:id="291786655">
          <w:marLeft w:val="0"/>
          <w:marRight w:val="0"/>
          <w:marTop w:val="0"/>
          <w:marBottom w:val="0"/>
          <w:divBdr>
            <w:top w:val="none" w:sz="0" w:space="0" w:color="auto"/>
            <w:left w:val="none" w:sz="0" w:space="0" w:color="auto"/>
            <w:bottom w:val="none" w:sz="0" w:space="0" w:color="auto"/>
            <w:right w:val="none" w:sz="0" w:space="0" w:color="auto"/>
          </w:divBdr>
          <w:divsChild>
            <w:div w:id="1913810825">
              <w:marLeft w:val="0"/>
              <w:marRight w:val="0"/>
              <w:marTop w:val="0"/>
              <w:marBottom w:val="0"/>
              <w:divBdr>
                <w:top w:val="none" w:sz="0" w:space="0" w:color="auto"/>
                <w:left w:val="none" w:sz="0" w:space="0" w:color="auto"/>
                <w:bottom w:val="none" w:sz="0" w:space="0" w:color="auto"/>
                <w:right w:val="none" w:sz="0" w:space="0" w:color="auto"/>
              </w:divBdr>
              <w:divsChild>
                <w:div w:id="19292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9616">
      <w:bodyDiv w:val="1"/>
      <w:marLeft w:val="0"/>
      <w:marRight w:val="0"/>
      <w:marTop w:val="0"/>
      <w:marBottom w:val="0"/>
      <w:divBdr>
        <w:top w:val="none" w:sz="0" w:space="0" w:color="auto"/>
        <w:left w:val="none" w:sz="0" w:space="0" w:color="auto"/>
        <w:bottom w:val="none" w:sz="0" w:space="0" w:color="auto"/>
        <w:right w:val="none" w:sz="0" w:space="0" w:color="auto"/>
      </w:divBdr>
      <w:divsChild>
        <w:div w:id="655694461">
          <w:marLeft w:val="0"/>
          <w:marRight w:val="0"/>
          <w:marTop w:val="0"/>
          <w:marBottom w:val="0"/>
          <w:divBdr>
            <w:top w:val="none" w:sz="0" w:space="0" w:color="auto"/>
            <w:left w:val="none" w:sz="0" w:space="0" w:color="auto"/>
            <w:bottom w:val="none" w:sz="0" w:space="0" w:color="auto"/>
            <w:right w:val="none" w:sz="0" w:space="0" w:color="auto"/>
          </w:divBdr>
          <w:divsChild>
            <w:div w:id="1308511582">
              <w:marLeft w:val="0"/>
              <w:marRight w:val="0"/>
              <w:marTop w:val="0"/>
              <w:marBottom w:val="0"/>
              <w:divBdr>
                <w:top w:val="none" w:sz="0" w:space="0" w:color="auto"/>
                <w:left w:val="none" w:sz="0" w:space="0" w:color="auto"/>
                <w:bottom w:val="none" w:sz="0" w:space="0" w:color="auto"/>
                <w:right w:val="none" w:sz="0" w:space="0" w:color="auto"/>
              </w:divBdr>
              <w:divsChild>
                <w:div w:id="588540711">
                  <w:marLeft w:val="0"/>
                  <w:marRight w:val="0"/>
                  <w:marTop w:val="0"/>
                  <w:marBottom w:val="0"/>
                  <w:divBdr>
                    <w:top w:val="none" w:sz="0" w:space="0" w:color="auto"/>
                    <w:left w:val="none" w:sz="0" w:space="0" w:color="auto"/>
                    <w:bottom w:val="none" w:sz="0" w:space="0" w:color="auto"/>
                    <w:right w:val="none" w:sz="0" w:space="0" w:color="auto"/>
                  </w:divBdr>
                  <w:divsChild>
                    <w:div w:id="9267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6104">
      <w:bodyDiv w:val="1"/>
      <w:marLeft w:val="0"/>
      <w:marRight w:val="0"/>
      <w:marTop w:val="0"/>
      <w:marBottom w:val="0"/>
      <w:divBdr>
        <w:top w:val="none" w:sz="0" w:space="0" w:color="auto"/>
        <w:left w:val="none" w:sz="0" w:space="0" w:color="auto"/>
        <w:bottom w:val="none" w:sz="0" w:space="0" w:color="auto"/>
        <w:right w:val="none" w:sz="0" w:space="0" w:color="auto"/>
      </w:divBdr>
      <w:divsChild>
        <w:div w:id="11302389">
          <w:marLeft w:val="0"/>
          <w:marRight w:val="0"/>
          <w:marTop w:val="0"/>
          <w:marBottom w:val="0"/>
          <w:divBdr>
            <w:top w:val="none" w:sz="0" w:space="0" w:color="auto"/>
            <w:left w:val="none" w:sz="0" w:space="0" w:color="auto"/>
            <w:bottom w:val="none" w:sz="0" w:space="0" w:color="auto"/>
            <w:right w:val="none" w:sz="0" w:space="0" w:color="auto"/>
          </w:divBdr>
        </w:div>
        <w:div w:id="13507480">
          <w:marLeft w:val="0"/>
          <w:marRight w:val="0"/>
          <w:marTop w:val="0"/>
          <w:marBottom w:val="0"/>
          <w:divBdr>
            <w:top w:val="none" w:sz="0" w:space="0" w:color="auto"/>
            <w:left w:val="none" w:sz="0" w:space="0" w:color="auto"/>
            <w:bottom w:val="none" w:sz="0" w:space="0" w:color="auto"/>
            <w:right w:val="none" w:sz="0" w:space="0" w:color="auto"/>
          </w:divBdr>
        </w:div>
        <w:div w:id="21369138">
          <w:marLeft w:val="0"/>
          <w:marRight w:val="0"/>
          <w:marTop w:val="0"/>
          <w:marBottom w:val="0"/>
          <w:divBdr>
            <w:top w:val="none" w:sz="0" w:space="0" w:color="auto"/>
            <w:left w:val="none" w:sz="0" w:space="0" w:color="auto"/>
            <w:bottom w:val="none" w:sz="0" w:space="0" w:color="auto"/>
            <w:right w:val="none" w:sz="0" w:space="0" w:color="auto"/>
          </w:divBdr>
        </w:div>
        <w:div w:id="69275414">
          <w:marLeft w:val="0"/>
          <w:marRight w:val="0"/>
          <w:marTop w:val="0"/>
          <w:marBottom w:val="0"/>
          <w:divBdr>
            <w:top w:val="none" w:sz="0" w:space="0" w:color="auto"/>
            <w:left w:val="none" w:sz="0" w:space="0" w:color="auto"/>
            <w:bottom w:val="none" w:sz="0" w:space="0" w:color="auto"/>
            <w:right w:val="none" w:sz="0" w:space="0" w:color="auto"/>
          </w:divBdr>
        </w:div>
        <w:div w:id="100687359">
          <w:marLeft w:val="0"/>
          <w:marRight w:val="0"/>
          <w:marTop w:val="0"/>
          <w:marBottom w:val="0"/>
          <w:divBdr>
            <w:top w:val="none" w:sz="0" w:space="0" w:color="auto"/>
            <w:left w:val="none" w:sz="0" w:space="0" w:color="auto"/>
            <w:bottom w:val="none" w:sz="0" w:space="0" w:color="auto"/>
            <w:right w:val="none" w:sz="0" w:space="0" w:color="auto"/>
          </w:divBdr>
        </w:div>
        <w:div w:id="463350564">
          <w:marLeft w:val="0"/>
          <w:marRight w:val="0"/>
          <w:marTop w:val="0"/>
          <w:marBottom w:val="0"/>
          <w:divBdr>
            <w:top w:val="none" w:sz="0" w:space="0" w:color="auto"/>
            <w:left w:val="none" w:sz="0" w:space="0" w:color="auto"/>
            <w:bottom w:val="none" w:sz="0" w:space="0" w:color="auto"/>
            <w:right w:val="none" w:sz="0" w:space="0" w:color="auto"/>
          </w:divBdr>
        </w:div>
        <w:div w:id="552615305">
          <w:marLeft w:val="0"/>
          <w:marRight w:val="0"/>
          <w:marTop w:val="0"/>
          <w:marBottom w:val="0"/>
          <w:divBdr>
            <w:top w:val="none" w:sz="0" w:space="0" w:color="auto"/>
            <w:left w:val="none" w:sz="0" w:space="0" w:color="auto"/>
            <w:bottom w:val="none" w:sz="0" w:space="0" w:color="auto"/>
            <w:right w:val="none" w:sz="0" w:space="0" w:color="auto"/>
          </w:divBdr>
        </w:div>
        <w:div w:id="552666878">
          <w:marLeft w:val="0"/>
          <w:marRight w:val="0"/>
          <w:marTop w:val="0"/>
          <w:marBottom w:val="0"/>
          <w:divBdr>
            <w:top w:val="none" w:sz="0" w:space="0" w:color="auto"/>
            <w:left w:val="none" w:sz="0" w:space="0" w:color="auto"/>
            <w:bottom w:val="none" w:sz="0" w:space="0" w:color="auto"/>
            <w:right w:val="none" w:sz="0" w:space="0" w:color="auto"/>
          </w:divBdr>
        </w:div>
        <w:div w:id="596983150">
          <w:marLeft w:val="0"/>
          <w:marRight w:val="0"/>
          <w:marTop w:val="0"/>
          <w:marBottom w:val="0"/>
          <w:divBdr>
            <w:top w:val="none" w:sz="0" w:space="0" w:color="auto"/>
            <w:left w:val="none" w:sz="0" w:space="0" w:color="auto"/>
            <w:bottom w:val="none" w:sz="0" w:space="0" w:color="auto"/>
            <w:right w:val="none" w:sz="0" w:space="0" w:color="auto"/>
          </w:divBdr>
        </w:div>
        <w:div w:id="736123805">
          <w:marLeft w:val="0"/>
          <w:marRight w:val="0"/>
          <w:marTop w:val="0"/>
          <w:marBottom w:val="0"/>
          <w:divBdr>
            <w:top w:val="none" w:sz="0" w:space="0" w:color="auto"/>
            <w:left w:val="none" w:sz="0" w:space="0" w:color="auto"/>
            <w:bottom w:val="none" w:sz="0" w:space="0" w:color="auto"/>
            <w:right w:val="none" w:sz="0" w:space="0" w:color="auto"/>
          </w:divBdr>
        </w:div>
        <w:div w:id="853810984">
          <w:marLeft w:val="0"/>
          <w:marRight w:val="0"/>
          <w:marTop w:val="0"/>
          <w:marBottom w:val="0"/>
          <w:divBdr>
            <w:top w:val="none" w:sz="0" w:space="0" w:color="auto"/>
            <w:left w:val="none" w:sz="0" w:space="0" w:color="auto"/>
            <w:bottom w:val="none" w:sz="0" w:space="0" w:color="auto"/>
            <w:right w:val="none" w:sz="0" w:space="0" w:color="auto"/>
          </w:divBdr>
        </w:div>
        <w:div w:id="880479878">
          <w:marLeft w:val="0"/>
          <w:marRight w:val="0"/>
          <w:marTop w:val="0"/>
          <w:marBottom w:val="0"/>
          <w:divBdr>
            <w:top w:val="none" w:sz="0" w:space="0" w:color="auto"/>
            <w:left w:val="none" w:sz="0" w:space="0" w:color="auto"/>
            <w:bottom w:val="none" w:sz="0" w:space="0" w:color="auto"/>
            <w:right w:val="none" w:sz="0" w:space="0" w:color="auto"/>
          </w:divBdr>
        </w:div>
        <w:div w:id="889609488">
          <w:marLeft w:val="0"/>
          <w:marRight w:val="0"/>
          <w:marTop w:val="0"/>
          <w:marBottom w:val="0"/>
          <w:divBdr>
            <w:top w:val="none" w:sz="0" w:space="0" w:color="auto"/>
            <w:left w:val="none" w:sz="0" w:space="0" w:color="auto"/>
            <w:bottom w:val="none" w:sz="0" w:space="0" w:color="auto"/>
            <w:right w:val="none" w:sz="0" w:space="0" w:color="auto"/>
          </w:divBdr>
        </w:div>
        <w:div w:id="894853359">
          <w:marLeft w:val="0"/>
          <w:marRight w:val="0"/>
          <w:marTop w:val="0"/>
          <w:marBottom w:val="0"/>
          <w:divBdr>
            <w:top w:val="none" w:sz="0" w:space="0" w:color="auto"/>
            <w:left w:val="none" w:sz="0" w:space="0" w:color="auto"/>
            <w:bottom w:val="none" w:sz="0" w:space="0" w:color="auto"/>
            <w:right w:val="none" w:sz="0" w:space="0" w:color="auto"/>
          </w:divBdr>
        </w:div>
        <w:div w:id="920724562">
          <w:marLeft w:val="0"/>
          <w:marRight w:val="0"/>
          <w:marTop w:val="0"/>
          <w:marBottom w:val="0"/>
          <w:divBdr>
            <w:top w:val="none" w:sz="0" w:space="0" w:color="auto"/>
            <w:left w:val="none" w:sz="0" w:space="0" w:color="auto"/>
            <w:bottom w:val="none" w:sz="0" w:space="0" w:color="auto"/>
            <w:right w:val="none" w:sz="0" w:space="0" w:color="auto"/>
          </w:divBdr>
        </w:div>
        <w:div w:id="932782386">
          <w:marLeft w:val="0"/>
          <w:marRight w:val="0"/>
          <w:marTop w:val="0"/>
          <w:marBottom w:val="0"/>
          <w:divBdr>
            <w:top w:val="none" w:sz="0" w:space="0" w:color="auto"/>
            <w:left w:val="none" w:sz="0" w:space="0" w:color="auto"/>
            <w:bottom w:val="none" w:sz="0" w:space="0" w:color="auto"/>
            <w:right w:val="none" w:sz="0" w:space="0" w:color="auto"/>
          </w:divBdr>
        </w:div>
        <w:div w:id="959872664">
          <w:marLeft w:val="0"/>
          <w:marRight w:val="0"/>
          <w:marTop w:val="0"/>
          <w:marBottom w:val="0"/>
          <w:divBdr>
            <w:top w:val="none" w:sz="0" w:space="0" w:color="auto"/>
            <w:left w:val="none" w:sz="0" w:space="0" w:color="auto"/>
            <w:bottom w:val="none" w:sz="0" w:space="0" w:color="auto"/>
            <w:right w:val="none" w:sz="0" w:space="0" w:color="auto"/>
          </w:divBdr>
        </w:div>
        <w:div w:id="1004547634">
          <w:marLeft w:val="0"/>
          <w:marRight w:val="0"/>
          <w:marTop w:val="0"/>
          <w:marBottom w:val="0"/>
          <w:divBdr>
            <w:top w:val="none" w:sz="0" w:space="0" w:color="auto"/>
            <w:left w:val="none" w:sz="0" w:space="0" w:color="auto"/>
            <w:bottom w:val="none" w:sz="0" w:space="0" w:color="auto"/>
            <w:right w:val="none" w:sz="0" w:space="0" w:color="auto"/>
          </w:divBdr>
        </w:div>
        <w:div w:id="1139687226">
          <w:marLeft w:val="0"/>
          <w:marRight w:val="0"/>
          <w:marTop w:val="0"/>
          <w:marBottom w:val="0"/>
          <w:divBdr>
            <w:top w:val="none" w:sz="0" w:space="0" w:color="auto"/>
            <w:left w:val="none" w:sz="0" w:space="0" w:color="auto"/>
            <w:bottom w:val="none" w:sz="0" w:space="0" w:color="auto"/>
            <w:right w:val="none" w:sz="0" w:space="0" w:color="auto"/>
          </w:divBdr>
        </w:div>
        <w:div w:id="1151018844">
          <w:marLeft w:val="0"/>
          <w:marRight w:val="0"/>
          <w:marTop w:val="0"/>
          <w:marBottom w:val="0"/>
          <w:divBdr>
            <w:top w:val="none" w:sz="0" w:space="0" w:color="auto"/>
            <w:left w:val="none" w:sz="0" w:space="0" w:color="auto"/>
            <w:bottom w:val="none" w:sz="0" w:space="0" w:color="auto"/>
            <w:right w:val="none" w:sz="0" w:space="0" w:color="auto"/>
          </w:divBdr>
        </w:div>
        <w:div w:id="1166939591">
          <w:marLeft w:val="0"/>
          <w:marRight w:val="0"/>
          <w:marTop w:val="0"/>
          <w:marBottom w:val="0"/>
          <w:divBdr>
            <w:top w:val="none" w:sz="0" w:space="0" w:color="auto"/>
            <w:left w:val="none" w:sz="0" w:space="0" w:color="auto"/>
            <w:bottom w:val="none" w:sz="0" w:space="0" w:color="auto"/>
            <w:right w:val="none" w:sz="0" w:space="0" w:color="auto"/>
          </w:divBdr>
        </w:div>
        <w:div w:id="1195263921">
          <w:marLeft w:val="0"/>
          <w:marRight w:val="0"/>
          <w:marTop w:val="0"/>
          <w:marBottom w:val="0"/>
          <w:divBdr>
            <w:top w:val="none" w:sz="0" w:space="0" w:color="auto"/>
            <w:left w:val="none" w:sz="0" w:space="0" w:color="auto"/>
            <w:bottom w:val="none" w:sz="0" w:space="0" w:color="auto"/>
            <w:right w:val="none" w:sz="0" w:space="0" w:color="auto"/>
          </w:divBdr>
        </w:div>
        <w:div w:id="1196388552">
          <w:marLeft w:val="0"/>
          <w:marRight w:val="0"/>
          <w:marTop w:val="0"/>
          <w:marBottom w:val="0"/>
          <w:divBdr>
            <w:top w:val="none" w:sz="0" w:space="0" w:color="auto"/>
            <w:left w:val="none" w:sz="0" w:space="0" w:color="auto"/>
            <w:bottom w:val="none" w:sz="0" w:space="0" w:color="auto"/>
            <w:right w:val="none" w:sz="0" w:space="0" w:color="auto"/>
          </w:divBdr>
        </w:div>
        <w:div w:id="1236282201">
          <w:marLeft w:val="0"/>
          <w:marRight w:val="0"/>
          <w:marTop w:val="0"/>
          <w:marBottom w:val="0"/>
          <w:divBdr>
            <w:top w:val="none" w:sz="0" w:space="0" w:color="auto"/>
            <w:left w:val="none" w:sz="0" w:space="0" w:color="auto"/>
            <w:bottom w:val="none" w:sz="0" w:space="0" w:color="auto"/>
            <w:right w:val="none" w:sz="0" w:space="0" w:color="auto"/>
          </w:divBdr>
        </w:div>
        <w:div w:id="1384014973">
          <w:marLeft w:val="0"/>
          <w:marRight w:val="0"/>
          <w:marTop w:val="0"/>
          <w:marBottom w:val="0"/>
          <w:divBdr>
            <w:top w:val="none" w:sz="0" w:space="0" w:color="auto"/>
            <w:left w:val="none" w:sz="0" w:space="0" w:color="auto"/>
            <w:bottom w:val="none" w:sz="0" w:space="0" w:color="auto"/>
            <w:right w:val="none" w:sz="0" w:space="0" w:color="auto"/>
          </w:divBdr>
        </w:div>
        <w:div w:id="1423719146">
          <w:marLeft w:val="0"/>
          <w:marRight w:val="0"/>
          <w:marTop w:val="0"/>
          <w:marBottom w:val="0"/>
          <w:divBdr>
            <w:top w:val="none" w:sz="0" w:space="0" w:color="auto"/>
            <w:left w:val="none" w:sz="0" w:space="0" w:color="auto"/>
            <w:bottom w:val="none" w:sz="0" w:space="0" w:color="auto"/>
            <w:right w:val="none" w:sz="0" w:space="0" w:color="auto"/>
          </w:divBdr>
        </w:div>
        <w:div w:id="1440686887">
          <w:marLeft w:val="0"/>
          <w:marRight w:val="0"/>
          <w:marTop w:val="0"/>
          <w:marBottom w:val="0"/>
          <w:divBdr>
            <w:top w:val="none" w:sz="0" w:space="0" w:color="auto"/>
            <w:left w:val="none" w:sz="0" w:space="0" w:color="auto"/>
            <w:bottom w:val="none" w:sz="0" w:space="0" w:color="auto"/>
            <w:right w:val="none" w:sz="0" w:space="0" w:color="auto"/>
          </w:divBdr>
        </w:div>
        <w:div w:id="1471635763">
          <w:marLeft w:val="0"/>
          <w:marRight w:val="0"/>
          <w:marTop w:val="0"/>
          <w:marBottom w:val="0"/>
          <w:divBdr>
            <w:top w:val="none" w:sz="0" w:space="0" w:color="auto"/>
            <w:left w:val="none" w:sz="0" w:space="0" w:color="auto"/>
            <w:bottom w:val="none" w:sz="0" w:space="0" w:color="auto"/>
            <w:right w:val="none" w:sz="0" w:space="0" w:color="auto"/>
          </w:divBdr>
        </w:div>
        <w:div w:id="1516534786">
          <w:marLeft w:val="0"/>
          <w:marRight w:val="0"/>
          <w:marTop w:val="0"/>
          <w:marBottom w:val="0"/>
          <w:divBdr>
            <w:top w:val="none" w:sz="0" w:space="0" w:color="auto"/>
            <w:left w:val="none" w:sz="0" w:space="0" w:color="auto"/>
            <w:bottom w:val="none" w:sz="0" w:space="0" w:color="auto"/>
            <w:right w:val="none" w:sz="0" w:space="0" w:color="auto"/>
          </w:divBdr>
        </w:div>
        <w:div w:id="1541631695">
          <w:marLeft w:val="0"/>
          <w:marRight w:val="0"/>
          <w:marTop w:val="0"/>
          <w:marBottom w:val="0"/>
          <w:divBdr>
            <w:top w:val="none" w:sz="0" w:space="0" w:color="auto"/>
            <w:left w:val="none" w:sz="0" w:space="0" w:color="auto"/>
            <w:bottom w:val="none" w:sz="0" w:space="0" w:color="auto"/>
            <w:right w:val="none" w:sz="0" w:space="0" w:color="auto"/>
          </w:divBdr>
        </w:div>
        <w:div w:id="1568030929">
          <w:marLeft w:val="0"/>
          <w:marRight w:val="0"/>
          <w:marTop w:val="0"/>
          <w:marBottom w:val="0"/>
          <w:divBdr>
            <w:top w:val="none" w:sz="0" w:space="0" w:color="auto"/>
            <w:left w:val="none" w:sz="0" w:space="0" w:color="auto"/>
            <w:bottom w:val="none" w:sz="0" w:space="0" w:color="auto"/>
            <w:right w:val="none" w:sz="0" w:space="0" w:color="auto"/>
          </w:divBdr>
        </w:div>
        <w:div w:id="1668053309">
          <w:marLeft w:val="0"/>
          <w:marRight w:val="0"/>
          <w:marTop w:val="0"/>
          <w:marBottom w:val="0"/>
          <w:divBdr>
            <w:top w:val="none" w:sz="0" w:space="0" w:color="auto"/>
            <w:left w:val="none" w:sz="0" w:space="0" w:color="auto"/>
            <w:bottom w:val="none" w:sz="0" w:space="0" w:color="auto"/>
            <w:right w:val="none" w:sz="0" w:space="0" w:color="auto"/>
          </w:divBdr>
        </w:div>
        <w:div w:id="1672561398">
          <w:marLeft w:val="0"/>
          <w:marRight w:val="0"/>
          <w:marTop w:val="0"/>
          <w:marBottom w:val="0"/>
          <w:divBdr>
            <w:top w:val="none" w:sz="0" w:space="0" w:color="auto"/>
            <w:left w:val="none" w:sz="0" w:space="0" w:color="auto"/>
            <w:bottom w:val="none" w:sz="0" w:space="0" w:color="auto"/>
            <w:right w:val="none" w:sz="0" w:space="0" w:color="auto"/>
          </w:divBdr>
        </w:div>
        <w:div w:id="1850023367">
          <w:marLeft w:val="0"/>
          <w:marRight w:val="0"/>
          <w:marTop w:val="0"/>
          <w:marBottom w:val="0"/>
          <w:divBdr>
            <w:top w:val="none" w:sz="0" w:space="0" w:color="auto"/>
            <w:left w:val="none" w:sz="0" w:space="0" w:color="auto"/>
            <w:bottom w:val="none" w:sz="0" w:space="0" w:color="auto"/>
            <w:right w:val="none" w:sz="0" w:space="0" w:color="auto"/>
          </w:divBdr>
        </w:div>
        <w:div w:id="1895309215">
          <w:marLeft w:val="0"/>
          <w:marRight w:val="0"/>
          <w:marTop w:val="0"/>
          <w:marBottom w:val="0"/>
          <w:divBdr>
            <w:top w:val="none" w:sz="0" w:space="0" w:color="auto"/>
            <w:left w:val="none" w:sz="0" w:space="0" w:color="auto"/>
            <w:bottom w:val="none" w:sz="0" w:space="0" w:color="auto"/>
            <w:right w:val="none" w:sz="0" w:space="0" w:color="auto"/>
          </w:divBdr>
        </w:div>
        <w:div w:id="1962226109">
          <w:marLeft w:val="0"/>
          <w:marRight w:val="0"/>
          <w:marTop w:val="0"/>
          <w:marBottom w:val="0"/>
          <w:divBdr>
            <w:top w:val="none" w:sz="0" w:space="0" w:color="auto"/>
            <w:left w:val="none" w:sz="0" w:space="0" w:color="auto"/>
            <w:bottom w:val="none" w:sz="0" w:space="0" w:color="auto"/>
            <w:right w:val="none" w:sz="0" w:space="0" w:color="auto"/>
          </w:divBdr>
        </w:div>
        <w:div w:id="1985117578">
          <w:marLeft w:val="0"/>
          <w:marRight w:val="0"/>
          <w:marTop w:val="0"/>
          <w:marBottom w:val="0"/>
          <w:divBdr>
            <w:top w:val="none" w:sz="0" w:space="0" w:color="auto"/>
            <w:left w:val="none" w:sz="0" w:space="0" w:color="auto"/>
            <w:bottom w:val="none" w:sz="0" w:space="0" w:color="auto"/>
            <w:right w:val="none" w:sz="0" w:space="0" w:color="auto"/>
          </w:divBdr>
        </w:div>
        <w:div w:id="2086955831">
          <w:marLeft w:val="0"/>
          <w:marRight w:val="0"/>
          <w:marTop w:val="0"/>
          <w:marBottom w:val="0"/>
          <w:divBdr>
            <w:top w:val="none" w:sz="0" w:space="0" w:color="auto"/>
            <w:left w:val="none" w:sz="0" w:space="0" w:color="auto"/>
            <w:bottom w:val="none" w:sz="0" w:space="0" w:color="auto"/>
            <w:right w:val="none" w:sz="0" w:space="0" w:color="auto"/>
          </w:divBdr>
        </w:div>
      </w:divsChild>
    </w:div>
    <w:div w:id="1260991586">
      <w:bodyDiv w:val="1"/>
      <w:marLeft w:val="0"/>
      <w:marRight w:val="0"/>
      <w:marTop w:val="0"/>
      <w:marBottom w:val="0"/>
      <w:divBdr>
        <w:top w:val="none" w:sz="0" w:space="0" w:color="auto"/>
        <w:left w:val="none" w:sz="0" w:space="0" w:color="auto"/>
        <w:bottom w:val="none" w:sz="0" w:space="0" w:color="auto"/>
        <w:right w:val="none" w:sz="0" w:space="0" w:color="auto"/>
      </w:divBdr>
      <w:divsChild>
        <w:div w:id="69545796">
          <w:marLeft w:val="0"/>
          <w:marRight w:val="0"/>
          <w:marTop w:val="0"/>
          <w:marBottom w:val="0"/>
          <w:divBdr>
            <w:top w:val="none" w:sz="0" w:space="0" w:color="auto"/>
            <w:left w:val="none" w:sz="0" w:space="0" w:color="auto"/>
            <w:bottom w:val="none" w:sz="0" w:space="0" w:color="auto"/>
            <w:right w:val="none" w:sz="0" w:space="0" w:color="auto"/>
          </w:divBdr>
        </w:div>
        <w:div w:id="121117539">
          <w:marLeft w:val="0"/>
          <w:marRight w:val="0"/>
          <w:marTop w:val="0"/>
          <w:marBottom w:val="0"/>
          <w:divBdr>
            <w:top w:val="none" w:sz="0" w:space="0" w:color="auto"/>
            <w:left w:val="none" w:sz="0" w:space="0" w:color="auto"/>
            <w:bottom w:val="none" w:sz="0" w:space="0" w:color="auto"/>
            <w:right w:val="none" w:sz="0" w:space="0" w:color="auto"/>
          </w:divBdr>
        </w:div>
        <w:div w:id="150561076">
          <w:marLeft w:val="0"/>
          <w:marRight w:val="0"/>
          <w:marTop w:val="0"/>
          <w:marBottom w:val="0"/>
          <w:divBdr>
            <w:top w:val="none" w:sz="0" w:space="0" w:color="auto"/>
            <w:left w:val="none" w:sz="0" w:space="0" w:color="auto"/>
            <w:bottom w:val="none" w:sz="0" w:space="0" w:color="auto"/>
            <w:right w:val="none" w:sz="0" w:space="0" w:color="auto"/>
          </w:divBdr>
        </w:div>
        <w:div w:id="183599052">
          <w:marLeft w:val="0"/>
          <w:marRight w:val="0"/>
          <w:marTop w:val="0"/>
          <w:marBottom w:val="0"/>
          <w:divBdr>
            <w:top w:val="none" w:sz="0" w:space="0" w:color="auto"/>
            <w:left w:val="none" w:sz="0" w:space="0" w:color="auto"/>
            <w:bottom w:val="none" w:sz="0" w:space="0" w:color="auto"/>
            <w:right w:val="none" w:sz="0" w:space="0" w:color="auto"/>
          </w:divBdr>
        </w:div>
        <w:div w:id="217669703">
          <w:marLeft w:val="0"/>
          <w:marRight w:val="0"/>
          <w:marTop w:val="0"/>
          <w:marBottom w:val="0"/>
          <w:divBdr>
            <w:top w:val="none" w:sz="0" w:space="0" w:color="auto"/>
            <w:left w:val="none" w:sz="0" w:space="0" w:color="auto"/>
            <w:bottom w:val="none" w:sz="0" w:space="0" w:color="auto"/>
            <w:right w:val="none" w:sz="0" w:space="0" w:color="auto"/>
          </w:divBdr>
        </w:div>
        <w:div w:id="243497595">
          <w:marLeft w:val="0"/>
          <w:marRight w:val="0"/>
          <w:marTop w:val="0"/>
          <w:marBottom w:val="0"/>
          <w:divBdr>
            <w:top w:val="none" w:sz="0" w:space="0" w:color="auto"/>
            <w:left w:val="none" w:sz="0" w:space="0" w:color="auto"/>
            <w:bottom w:val="none" w:sz="0" w:space="0" w:color="auto"/>
            <w:right w:val="none" w:sz="0" w:space="0" w:color="auto"/>
          </w:divBdr>
        </w:div>
        <w:div w:id="265695160">
          <w:marLeft w:val="0"/>
          <w:marRight w:val="0"/>
          <w:marTop w:val="0"/>
          <w:marBottom w:val="0"/>
          <w:divBdr>
            <w:top w:val="none" w:sz="0" w:space="0" w:color="auto"/>
            <w:left w:val="none" w:sz="0" w:space="0" w:color="auto"/>
            <w:bottom w:val="none" w:sz="0" w:space="0" w:color="auto"/>
            <w:right w:val="none" w:sz="0" w:space="0" w:color="auto"/>
          </w:divBdr>
        </w:div>
        <w:div w:id="312174236">
          <w:marLeft w:val="0"/>
          <w:marRight w:val="0"/>
          <w:marTop w:val="0"/>
          <w:marBottom w:val="0"/>
          <w:divBdr>
            <w:top w:val="none" w:sz="0" w:space="0" w:color="auto"/>
            <w:left w:val="none" w:sz="0" w:space="0" w:color="auto"/>
            <w:bottom w:val="none" w:sz="0" w:space="0" w:color="auto"/>
            <w:right w:val="none" w:sz="0" w:space="0" w:color="auto"/>
          </w:divBdr>
        </w:div>
        <w:div w:id="383063013">
          <w:marLeft w:val="0"/>
          <w:marRight w:val="0"/>
          <w:marTop w:val="0"/>
          <w:marBottom w:val="0"/>
          <w:divBdr>
            <w:top w:val="none" w:sz="0" w:space="0" w:color="auto"/>
            <w:left w:val="none" w:sz="0" w:space="0" w:color="auto"/>
            <w:bottom w:val="none" w:sz="0" w:space="0" w:color="auto"/>
            <w:right w:val="none" w:sz="0" w:space="0" w:color="auto"/>
          </w:divBdr>
        </w:div>
        <w:div w:id="421225826">
          <w:marLeft w:val="0"/>
          <w:marRight w:val="0"/>
          <w:marTop w:val="0"/>
          <w:marBottom w:val="0"/>
          <w:divBdr>
            <w:top w:val="none" w:sz="0" w:space="0" w:color="auto"/>
            <w:left w:val="none" w:sz="0" w:space="0" w:color="auto"/>
            <w:bottom w:val="none" w:sz="0" w:space="0" w:color="auto"/>
            <w:right w:val="none" w:sz="0" w:space="0" w:color="auto"/>
          </w:divBdr>
        </w:div>
        <w:div w:id="434903411">
          <w:marLeft w:val="0"/>
          <w:marRight w:val="0"/>
          <w:marTop w:val="0"/>
          <w:marBottom w:val="0"/>
          <w:divBdr>
            <w:top w:val="none" w:sz="0" w:space="0" w:color="auto"/>
            <w:left w:val="none" w:sz="0" w:space="0" w:color="auto"/>
            <w:bottom w:val="none" w:sz="0" w:space="0" w:color="auto"/>
            <w:right w:val="none" w:sz="0" w:space="0" w:color="auto"/>
          </w:divBdr>
        </w:div>
        <w:div w:id="624963221">
          <w:marLeft w:val="0"/>
          <w:marRight w:val="0"/>
          <w:marTop w:val="0"/>
          <w:marBottom w:val="0"/>
          <w:divBdr>
            <w:top w:val="none" w:sz="0" w:space="0" w:color="auto"/>
            <w:left w:val="none" w:sz="0" w:space="0" w:color="auto"/>
            <w:bottom w:val="none" w:sz="0" w:space="0" w:color="auto"/>
            <w:right w:val="none" w:sz="0" w:space="0" w:color="auto"/>
          </w:divBdr>
        </w:div>
        <w:div w:id="653801168">
          <w:marLeft w:val="0"/>
          <w:marRight w:val="0"/>
          <w:marTop w:val="0"/>
          <w:marBottom w:val="0"/>
          <w:divBdr>
            <w:top w:val="none" w:sz="0" w:space="0" w:color="auto"/>
            <w:left w:val="none" w:sz="0" w:space="0" w:color="auto"/>
            <w:bottom w:val="none" w:sz="0" w:space="0" w:color="auto"/>
            <w:right w:val="none" w:sz="0" w:space="0" w:color="auto"/>
          </w:divBdr>
        </w:div>
        <w:div w:id="791171722">
          <w:marLeft w:val="0"/>
          <w:marRight w:val="0"/>
          <w:marTop w:val="0"/>
          <w:marBottom w:val="0"/>
          <w:divBdr>
            <w:top w:val="none" w:sz="0" w:space="0" w:color="auto"/>
            <w:left w:val="none" w:sz="0" w:space="0" w:color="auto"/>
            <w:bottom w:val="none" w:sz="0" w:space="0" w:color="auto"/>
            <w:right w:val="none" w:sz="0" w:space="0" w:color="auto"/>
          </w:divBdr>
        </w:div>
        <w:div w:id="800684815">
          <w:marLeft w:val="0"/>
          <w:marRight w:val="0"/>
          <w:marTop w:val="0"/>
          <w:marBottom w:val="0"/>
          <w:divBdr>
            <w:top w:val="none" w:sz="0" w:space="0" w:color="auto"/>
            <w:left w:val="none" w:sz="0" w:space="0" w:color="auto"/>
            <w:bottom w:val="none" w:sz="0" w:space="0" w:color="auto"/>
            <w:right w:val="none" w:sz="0" w:space="0" w:color="auto"/>
          </w:divBdr>
        </w:div>
        <w:div w:id="815031211">
          <w:marLeft w:val="0"/>
          <w:marRight w:val="0"/>
          <w:marTop w:val="0"/>
          <w:marBottom w:val="0"/>
          <w:divBdr>
            <w:top w:val="none" w:sz="0" w:space="0" w:color="auto"/>
            <w:left w:val="none" w:sz="0" w:space="0" w:color="auto"/>
            <w:bottom w:val="none" w:sz="0" w:space="0" w:color="auto"/>
            <w:right w:val="none" w:sz="0" w:space="0" w:color="auto"/>
          </w:divBdr>
        </w:div>
        <w:div w:id="965158430">
          <w:marLeft w:val="0"/>
          <w:marRight w:val="0"/>
          <w:marTop w:val="0"/>
          <w:marBottom w:val="0"/>
          <w:divBdr>
            <w:top w:val="none" w:sz="0" w:space="0" w:color="auto"/>
            <w:left w:val="none" w:sz="0" w:space="0" w:color="auto"/>
            <w:bottom w:val="none" w:sz="0" w:space="0" w:color="auto"/>
            <w:right w:val="none" w:sz="0" w:space="0" w:color="auto"/>
          </w:divBdr>
        </w:div>
        <w:div w:id="971787957">
          <w:marLeft w:val="0"/>
          <w:marRight w:val="0"/>
          <w:marTop w:val="0"/>
          <w:marBottom w:val="0"/>
          <w:divBdr>
            <w:top w:val="none" w:sz="0" w:space="0" w:color="auto"/>
            <w:left w:val="none" w:sz="0" w:space="0" w:color="auto"/>
            <w:bottom w:val="none" w:sz="0" w:space="0" w:color="auto"/>
            <w:right w:val="none" w:sz="0" w:space="0" w:color="auto"/>
          </w:divBdr>
        </w:div>
        <w:div w:id="1011643846">
          <w:marLeft w:val="0"/>
          <w:marRight w:val="0"/>
          <w:marTop w:val="0"/>
          <w:marBottom w:val="0"/>
          <w:divBdr>
            <w:top w:val="none" w:sz="0" w:space="0" w:color="auto"/>
            <w:left w:val="none" w:sz="0" w:space="0" w:color="auto"/>
            <w:bottom w:val="none" w:sz="0" w:space="0" w:color="auto"/>
            <w:right w:val="none" w:sz="0" w:space="0" w:color="auto"/>
          </w:divBdr>
        </w:div>
        <w:div w:id="1075084973">
          <w:marLeft w:val="0"/>
          <w:marRight w:val="0"/>
          <w:marTop w:val="0"/>
          <w:marBottom w:val="0"/>
          <w:divBdr>
            <w:top w:val="none" w:sz="0" w:space="0" w:color="auto"/>
            <w:left w:val="none" w:sz="0" w:space="0" w:color="auto"/>
            <w:bottom w:val="none" w:sz="0" w:space="0" w:color="auto"/>
            <w:right w:val="none" w:sz="0" w:space="0" w:color="auto"/>
          </w:divBdr>
        </w:div>
        <w:div w:id="1101726563">
          <w:marLeft w:val="0"/>
          <w:marRight w:val="0"/>
          <w:marTop w:val="0"/>
          <w:marBottom w:val="0"/>
          <w:divBdr>
            <w:top w:val="none" w:sz="0" w:space="0" w:color="auto"/>
            <w:left w:val="none" w:sz="0" w:space="0" w:color="auto"/>
            <w:bottom w:val="none" w:sz="0" w:space="0" w:color="auto"/>
            <w:right w:val="none" w:sz="0" w:space="0" w:color="auto"/>
          </w:divBdr>
        </w:div>
        <w:div w:id="1126119820">
          <w:marLeft w:val="0"/>
          <w:marRight w:val="0"/>
          <w:marTop w:val="0"/>
          <w:marBottom w:val="0"/>
          <w:divBdr>
            <w:top w:val="none" w:sz="0" w:space="0" w:color="auto"/>
            <w:left w:val="none" w:sz="0" w:space="0" w:color="auto"/>
            <w:bottom w:val="none" w:sz="0" w:space="0" w:color="auto"/>
            <w:right w:val="none" w:sz="0" w:space="0" w:color="auto"/>
          </w:divBdr>
        </w:div>
        <w:div w:id="1137843727">
          <w:marLeft w:val="0"/>
          <w:marRight w:val="0"/>
          <w:marTop w:val="0"/>
          <w:marBottom w:val="0"/>
          <w:divBdr>
            <w:top w:val="none" w:sz="0" w:space="0" w:color="auto"/>
            <w:left w:val="none" w:sz="0" w:space="0" w:color="auto"/>
            <w:bottom w:val="none" w:sz="0" w:space="0" w:color="auto"/>
            <w:right w:val="none" w:sz="0" w:space="0" w:color="auto"/>
          </w:divBdr>
        </w:div>
        <w:div w:id="1150707788">
          <w:marLeft w:val="0"/>
          <w:marRight w:val="0"/>
          <w:marTop w:val="0"/>
          <w:marBottom w:val="0"/>
          <w:divBdr>
            <w:top w:val="none" w:sz="0" w:space="0" w:color="auto"/>
            <w:left w:val="none" w:sz="0" w:space="0" w:color="auto"/>
            <w:bottom w:val="none" w:sz="0" w:space="0" w:color="auto"/>
            <w:right w:val="none" w:sz="0" w:space="0" w:color="auto"/>
          </w:divBdr>
        </w:div>
        <w:div w:id="1187716921">
          <w:marLeft w:val="0"/>
          <w:marRight w:val="0"/>
          <w:marTop w:val="0"/>
          <w:marBottom w:val="0"/>
          <w:divBdr>
            <w:top w:val="none" w:sz="0" w:space="0" w:color="auto"/>
            <w:left w:val="none" w:sz="0" w:space="0" w:color="auto"/>
            <w:bottom w:val="none" w:sz="0" w:space="0" w:color="auto"/>
            <w:right w:val="none" w:sz="0" w:space="0" w:color="auto"/>
          </w:divBdr>
        </w:div>
        <w:div w:id="1230382916">
          <w:marLeft w:val="0"/>
          <w:marRight w:val="0"/>
          <w:marTop w:val="0"/>
          <w:marBottom w:val="0"/>
          <w:divBdr>
            <w:top w:val="none" w:sz="0" w:space="0" w:color="auto"/>
            <w:left w:val="none" w:sz="0" w:space="0" w:color="auto"/>
            <w:bottom w:val="none" w:sz="0" w:space="0" w:color="auto"/>
            <w:right w:val="none" w:sz="0" w:space="0" w:color="auto"/>
          </w:divBdr>
        </w:div>
        <w:div w:id="1277758328">
          <w:marLeft w:val="0"/>
          <w:marRight w:val="0"/>
          <w:marTop w:val="0"/>
          <w:marBottom w:val="0"/>
          <w:divBdr>
            <w:top w:val="none" w:sz="0" w:space="0" w:color="auto"/>
            <w:left w:val="none" w:sz="0" w:space="0" w:color="auto"/>
            <w:bottom w:val="none" w:sz="0" w:space="0" w:color="auto"/>
            <w:right w:val="none" w:sz="0" w:space="0" w:color="auto"/>
          </w:divBdr>
        </w:div>
        <w:div w:id="1295285836">
          <w:marLeft w:val="0"/>
          <w:marRight w:val="0"/>
          <w:marTop w:val="0"/>
          <w:marBottom w:val="0"/>
          <w:divBdr>
            <w:top w:val="none" w:sz="0" w:space="0" w:color="auto"/>
            <w:left w:val="none" w:sz="0" w:space="0" w:color="auto"/>
            <w:bottom w:val="none" w:sz="0" w:space="0" w:color="auto"/>
            <w:right w:val="none" w:sz="0" w:space="0" w:color="auto"/>
          </w:divBdr>
        </w:div>
        <w:div w:id="1319387720">
          <w:marLeft w:val="0"/>
          <w:marRight w:val="0"/>
          <w:marTop w:val="0"/>
          <w:marBottom w:val="0"/>
          <w:divBdr>
            <w:top w:val="none" w:sz="0" w:space="0" w:color="auto"/>
            <w:left w:val="none" w:sz="0" w:space="0" w:color="auto"/>
            <w:bottom w:val="none" w:sz="0" w:space="0" w:color="auto"/>
            <w:right w:val="none" w:sz="0" w:space="0" w:color="auto"/>
          </w:divBdr>
        </w:div>
        <w:div w:id="1326200820">
          <w:marLeft w:val="0"/>
          <w:marRight w:val="0"/>
          <w:marTop w:val="0"/>
          <w:marBottom w:val="0"/>
          <w:divBdr>
            <w:top w:val="none" w:sz="0" w:space="0" w:color="auto"/>
            <w:left w:val="none" w:sz="0" w:space="0" w:color="auto"/>
            <w:bottom w:val="none" w:sz="0" w:space="0" w:color="auto"/>
            <w:right w:val="none" w:sz="0" w:space="0" w:color="auto"/>
          </w:divBdr>
        </w:div>
        <w:div w:id="1364135600">
          <w:marLeft w:val="0"/>
          <w:marRight w:val="0"/>
          <w:marTop w:val="0"/>
          <w:marBottom w:val="0"/>
          <w:divBdr>
            <w:top w:val="none" w:sz="0" w:space="0" w:color="auto"/>
            <w:left w:val="none" w:sz="0" w:space="0" w:color="auto"/>
            <w:bottom w:val="none" w:sz="0" w:space="0" w:color="auto"/>
            <w:right w:val="none" w:sz="0" w:space="0" w:color="auto"/>
          </w:divBdr>
        </w:div>
        <w:div w:id="1405372253">
          <w:marLeft w:val="0"/>
          <w:marRight w:val="0"/>
          <w:marTop w:val="0"/>
          <w:marBottom w:val="0"/>
          <w:divBdr>
            <w:top w:val="none" w:sz="0" w:space="0" w:color="auto"/>
            <w:left w:val="none" w:sz="0" w:space="0" w:color="auto"/>
            <w:bottom w:val="none" w:sz="0" w:space="0" w:color="auto"/>
            <w:right w:val="none" w:sz="0" w:space="0" w:color="auto"/>
          </w:divBdr>
        </w:div>
        <w:div w:id="1429471618">
          <w:marLeft w:val="0"/>
          <w:marRight w:val="0"/>
          <w:marTop w:val="0"/>
          <w:marBottom w:val="0"/>
          <w:divBdr>
            <w:top w:val="none" w:sz="0" w:space="0" w:color="auto"/>
            <w:left w:val="none" w:sz="0" w:space="0" w:color="auto"/>
            <w:bottom w:val="none" w:sz="0" w:space="0" w:color="auto"/>
            <w:right w:val="none" w:sz="0" w:space="0" w:color="auto"/>
          </w:divBdr>
        </w:div>
        <w:div w:id="1441611779">
          <w:marLeft w:val="0"/>
          <w:marRight w:val="0"/>
          <w:marTop w:val="0"/>
          <w:marBottom w:val="0"/>
          <w:divBdr>
            <w:top w:val="none" w:sz="0" w:space="0" w:color="auto"/>
            <w:left w:val="none" w:sz="0" w:space="0" w:color="auto"/>
            <w:bottom w:val="none" w:sz="0" w:space="0" w:color="auto"/>
            <w:right w:val="none" w:sz="0" w:space="0" w:color="auto"/>
          </w:divBdr>
        </w:div>
        <w:div w:id="1448886148">
          <w:marLeft w:val="0"/>
          <w:marRight w:val="0"/>
          <w:marTop w:val="0"/>
          <w:marBottom w:val="0"/>
          <w:divBdr>
            <w:top w:val="none" w:sz="0" w:space="0" w:color="auto"/>
            <w:left w:val="none" w:sz="0" w:space="0" w:color="auto"/>
            <w:bottom w:val="none" w:sz="0" w:space="0" w:color="auto"/>
            <w:right w:val="none" w:sz="0" w:space="0" w:color="auto"/>
          </w:divBdr>
        </w:div>
        <w:div w:id="1570798214">
          <w:marLeft w:val="0"/>
          <w:marRight w:val="0"/>
          <w:marTop w:val="0"/>
          <w:marBottom w:val="0"/>
          <w:divBdr>
            <w:top w:val="none" w:sz="0" w:space="0" w:color="auto"/>
            <w:left w:val="none" w:sz="0" w:space="0" w:color="auto"/>
            <w:bottom w:val="none" w:sz="0" w:space="0" w:color="auto"/>
            <w:right w:val="none" w:sz="0" w:space="0" w:color="auto"/>
          </w:divBdr>
        </w:div>
        <w:div w:id="1577475646">
          <w:marLeft w:val="0"/>
          <w:marRight w:val="0"/>
          <w:marTop w:val="0"/>
          <w:marBottom w:val="0"/>
          <w:divBdr>
            <w:top w:val="none" w:sz="0" w:space="0" w:color="auto"/>
            <w:left w:val="none" w:sz="0" w:space="0" w:color="auto"/>
            <w:bottom w:val="none" w:sz="0" w:space="0" w:color="auto"/>
            <w:right w:val="none" w:sz="0" w:space="0" w:color="auto"/>
          </w:divBdr>
        </w:div>
        <w:div w:id="1608386733">
          <w:marLeft w:val="0"/>
          <w:marRight w:val="0"/>
          <w:marTop w:val="0"/>
          <w:marBottom w:val="0"/>
          <w:divBdr>
            <w:top w:val="none" w:sz="0" w:space="0" w:color="auto"/>
            <w:left w:val="none" w:sz="0" w:space="0" w:color="auto"/>
            <w:bottom w:val="none" w:sz="0" w:space="0" w:color="auto"/>
            <w:right w:val="none" w:sz="0" w:space="0" w:color="auto"/>
          </w:divBdr>
        </w:div>
        <w:div w:id="1636060844">
          <w:marLeft w:val="0"/>
          <w:marRight w:val="0"/>
          <w:marTop w:val="0"/>
          <w:marBottom w:val="0"/>
          <w:divBdr>
            <w:top w:val="none" w:sz="0" w:space="0" w:color="auto"/>
            <w:left w:val="none" w:sz="0" w:space="0" w:color="auto"/>
            <w:bottom w:val="none" w:sz="0" w:space="0" w:color="auto"/>
            <w:right w:val="none" w:sz="0" w:space="0" w:color="auto"/>
          </w:divBdr>
        </w:div>
        <w:div w:id="1679963468">
          <w:marLeft w:val="0"/>
          <w:marRight w:val="0"/>
          <w:marTop w:val="0"/>
          <w:marBottom w:val="0"/>
          <w:divBdr>
            <w:top w:val="none" w:sz="0" w:space="0" w:color="auto"/>
            <w:left w:val="none" w:sz="0" w:space="0" w:color="auto"/>
            <w:bottom w:val="none" w:sz="0" w:space="0" w:color="auto"/>
            <w:right w:val="none" w:sz="0" w:space="0" w:color="auto"/>
          </w:divBdr>
        </w:div>
        <w:div w:id="1684746642">
          <w:marLeft w:val="0"/>
          <w:marRight w:val="0"/>
          <w:marTop w:val="0"/>
          <w:marBottom w:val="0"/>
          <w:divBdr>
            <w:top w:val="none" w:sz="0" w:space="0" w:color="auto"/>
            <w:left w:val="none" w:sz="0" w:space="0" w:color="auto"/>
            <w:bottom w:val="none" w:sz="0" w:space="0" w:color="auto"/>
            <w:right w:val="none" w:sz="0" w:space="0" w:color="auto"/>
          </w:divBdr>
        </w:div>
        <w:div w:id="1697924940">
          <w:marLeft w:val="0"/>
          <w:marRight w:val="0"/>
          <w:marTop w:val="0"/>
          <w:marBottom w:val="0"/>
          <w:divBdr>
            <w:top w:val="none" w:sz="0" w:space="0" w:color="auto"/>
            <w:left w:val="none" w:sz="0" w:space="0" w:color="auto"/>
            <w:bottom w:val="none" w:sz="0" w:space="0" w:color="auto"/>
            <w:right w:val="none" w:sz="0" w:space="0" w:color="auto"/>
          </w:divBdr>
        </w:div>
        <w:div w:id="1731926948">
          <w:marLeft w:val="0"/>
          <w:marRight w:val="0"/>
          <w:marTop w:val="0"/>
          <w:marBottom w:val="0"/>
          <w:divBdr>
            <w:top w:val="none" w:sz="0" w:space="0" w:color="auto"/>
            <w:left w:val="none" w:sz="0" w:space="0" w:color="auto"/>
            <w:bottom w:val="none" w:sz="0" w:space="0" w:color="auto"/>
            <w:right w:val="none" w:sz="0" w:space="0" w:color="auto"/>
          </w:divBdr>
        </w:div>
        <w:div w:id="1816022031">
          <w:marLeft w:val="0"/>
          <w:marRight w:val="0"/>
          <w:marTop w:val="0"/>
          <w:marBottom w:val="0"/>
          <w:divBdr>
            <w:top w:val="none" w:sz="0" w:space="0" w:color="auto"/>
            <w:left w:val="none" w:sz="0" w:space="0" w:color="auto"/>
            <w:bottom w:val="none" w:sz="0" w:space="0" w:color="auto"/>
            <w:right w:val="none" w:sz="0" w:space="0" w:color="auto"/>
          </w:divBdr>
        </w:div>
        <w:div w:id="1912740401">
          <w:marLeft w:val="0"/>
          <w:marRight w:val="0"/>
          <w:marTop w:val="0"/>
          <w:marBottom w:val="0"/>
          <w:divBdr>
            <w:top w:val="none" w:sz="0" w:space="0" w:color="auto"/>
            <w:left w:val="none" w:sz="0" w:space="0" w:color="auto"/>
            <w:bottom w:val="none" w:sz="0" w:space="0" w:color="auto"/>
            <w:right w:val="none" w:sz="0" w:space="0" w:color="auto"/>
          </w:divBdr>
        </w:div>
        <w:div w:id="1919975011">
          <w:marLeft w:val="0"/>
          <w:marRight w:val="0"/>
          <w:marTop w:val="0"/>
          <w:marBottom w:val="0"/>
          <w:divBdr>
            <w:top w:val="none" w:sz="0" w:space="0" w:color="auto"/>
            <w:left w:val="none" w:sz="0" w:space="0" w:color="auto"/>
            <w:bottom w:val="none" w:sz="0" w:space="0" w:color="auto"/>
            <w:right w:val="none" w:sz="0" w:space="0" w:color="auto"/>
          </w:divBdr>
        </w:div>
        <w:div w:id="2002611016">
          <w:marLeft w:val="0"/>
          <w:marRight w:val="0"/>
          <w:marTop w:val="0"/>
          <w:marBottom w:val="0"/>
          <w:divBdr>
            <w:top w:val="none" w:sz="0" w:space="0" w:color="auto"/>
            <w:left w:val="none" w:sz="0" w:space="0" w:color="auto"/>
            <w:bottom w:val="none" w:sz="0" w:space="0" w:color="auto"/>
            <w:right w:val="none" w:sz="0" w:space="0" w:color="auto"/>
          </w:divBdr>
        </w:div>
        <w:div w:id="2054500480">
          <w:marLeft w:val="0"/>
          <w:marRight w:val="0"/>
          <w:marTop w:val="0"/>
          <w:marBottom w:val="0"/>
          <w:divBdr>
            <w:top w:val="none" w:sz="0" w:space="0" w:color="auto"/>
            <w:left w:val="none" w:sz="0" w:space="0" w:color="auto"/>
            <w:bottom w:val="none" w:sz="0" w:space="0" w:color="auto"/>
            <w:right w:val="none" w:sz="0" w:space="0" w:color="auto"/>
          </w:divBdr>
        </w:div>
      </w:divsChild>
    </w:div>
    <w:div w:id="1601983260">
      <w:bodyDiv w:val="1"/>
      <w:marLeft w:val="0"/>
      <w:marRight w:val="0"/>
      <w:marTop w:val="0"/>
      <w:marBottom w:val="0"/>
      <w:divBdr>
        <w:top w:val="none" w:sz="0" w:space="0" w:color="auto"/>
        <w:left w:val="none" w:sz="0" w:space="0" w:color="auto"/>
        <w:bottom w:val="none" w:sz="0" w:space="0" w:color="auto"/>
        <w:right w:val="none" w:sz="0" w:space="0" w:color="auto"/>
      </w:divBdr>
      <w:divsChild>
        <w:div w:id="74405674">
          <w:marLeft w:val="0"/>
          <w:marRight w:val="0"/>
          <w:marTop w:val="0"/>
          <w:marBottom w:val="0"/>
          <w:divBdr>
            <w:top w:val="none" w:sz="0" w:space="0" w:color="auto"/>
            <w:left w:val="none" w:sz="0" w:space="0" w:color="auto"/>
            <w:bottom w:val="none" w:sz="0" w:space="0" w:color="auto"/>
            <w:right w:val="none" w:sz="0" w:space="0" w:color="auto"/>
          </w:divBdr>
        </w:div>
        <w:div w:id="78143226">
          <w:marLeft w:val="0"/>
          <w:marRight w:val="0"/>
          <w:marTop w:val="0"/>
          <w:marBottom w:val="0"/>
          <w:divBdr>
            <w:top w:val="none" w:sz="0" w:space="0" w:color="auto"/>
            <w:left w:val="none" w:sz="0" w:space="0" w:color="auto"/>
            <w:bottom w:val="none" w:sz="0" w:space="0" w:color="auto"/>
            <w:right w:val="none" w:sz="0" w:space="0" w:color="auto"/>
          </w:divBdr>
        </w:div>
        <w:div w:id="111680864">
          <w:marLeft w:val="0"/>
          <w:marRight w:val="0"/>
          <w:marTop w:val="0"/>
          <w:marBottom w:val="0"/>
          <w:divBdr>
            <w:top w:val="none" w:sz="0" w:space="0" w:color="auto"/>
            <w:left w:val="none" w:sz="0" w:space="0" w:color="auto"/>
            <w:bottom w:val="none" w:sz="0" w:space="0" w:color="auto"/>
            <w:right w:val="none" w:sz="0" w:space="0" w:color="auto"/>
          </w:divBdr>
        </w:div>
        <w:div w:id="130363495">
          <w:marLeft w:val="0"/>
          <w:marRight w:val="0"/>
          <w:marTop w:val="0"/>
          <w:marBottom w:val="0"/>
          <w:divBdr>
            <w:top w:val="none" w:sz="0" w:space="0" w:color="auto"/>
            <w:left w:val="none" w:sz="0" w:space="0" w:color="auto"/>
            <w:bottom w:val="none" w:sz="0" w:space="0" w:color="auto"/>
            <w:right w:val="none" w:sz="0" w:space="0" w:color="auto"/>
          </w:divBdr>
        </w:div>
        <w:div w:id="141121842">
          <w:marLeft w:val="0"/>
          <w:marRight w:val="0"/>
          <w:marTop w:val="0"/>
          <w:marBottom w:val="0"/>
          <w:divBdr>
            <w:top w:val="none" w:sz="0" w:space="0" w:color="auto"/>
            <w:left w:val="none" w:sz="0" w:space="0" w:color="auto"/>
            <w:bottom w:val="none" w:sz="0" w:space="0" w:color="auto"/>
            <w:right w:val="none" w:sz="0" w:space="0" w:color="auto"/>
          </w:divBdr>
        </w:div>
        <w:div w:id="337587176">
          <w:marLeft w:val="0"/>
          <w:marRight w:val="0"/>
          <w:marTop w:val="0"/>
          <w:marBottom w:val="0"/>
          <w:divBdr>
            <w:top w:val="none" w:sz="0" w:space="0" w:color="auto"/>
            <w:left w:val="none" w:sz="0" w:space="0" w:color="auto"/>
            <w:bottom w:val="none" w:sz="0" w:space="0" w:color="auto"/>
            <w:right w:val="none" w:sz="0" w:space="0" w:color="auto"/>
          </w:divBdr>
        </w:div>
        <w:div w:id="340159906">
          <w:marLeft w:val="0"/>
          <w:marRight w:val="0"/>
          <w:marTop w:val="0"/>
          <w:marBottom w:val="0"/>
          <w:divBdr>
            <w:top w:val="none" w:sz="0" w:space="0" w:color="auto"/>
            <w:left w:val="none" w:sz="0" w:space="0" w:color="auto"/>
            <w:bottom w:val="none" w:sz="0" w:space="0" w:color="auto"/>
            <w:right w:val="none" w:sz="0" w:space="0" w:color="auto"/>
          </w:divBdr>
        </w:div>
        <w:div w:id="374358676">
          <w:marLeft w:val="0"/>
          <w:marRight w:val="0"/>
          <w:marTop w:val="0"/>
          <w:marBottom w:val="0"/>
          <w:divBdr>
            <w:top w:val="none" w:sz="0" w:space="0" w:color="auto"/>
            <w:left w:val="none" w:sz="0" w:space="0" w:color="auto"/>
            <w:bottom w:val="none" w:sz="0" w:space="0" w:color="auto"/>
            <w:right w:val="none" w:sz="0" w:space="0" w:color="auto"/>
          </w:divBdr>
        </w:div>
        <w:div w:id="415440943">
          <w:marLeft w:val="0"/>
          <w:marRight w:val="0"/>
          <w:marTop w:val="0"/>
          <w:marBottom w:val="0"/>
          <w:divBdr>
            <w:top w:val="none" w:sz="0" w:space="0" w:color="auto"/>
            <w:left w:val="none" w:sz="0" w:space="0" w:color="auto"/>
            <w:bottom w:val="none" w:sz="0" w:space="0" w:color="auto"/>
            <w:right w:val="none" w:sz="0" w:space="0" w:color="auto"/>
          </w:divBdr>
        </w:div>
        <w:div w:id="500000153">
          <w:marLeft w:val="0"/>
          <w:marRight w:val="0"/>
          <w:marTop w:val="0"/>
          <w:marBottom w:val="0"/>
          <w:divBdr>
            <w:top w:val="none" w:sz="0" w:space="0" w:color="auto"/>
            <w:left w:val="none" w:sz="0" w:space="0" w:color="auto"/>
            <w:bottom w:val="none" w:sz="0" w:space="0" w:color="auto"/>
            <w:right w:val="none" w:sz="0" w:space="0" w:color="auto"/>
          </w:divBdr>
        </w:div>
        <w:div w:id="525872132">
          <w:marLeft w:val="0"/>
          <w:marRight w:val="0"/>
          <w:marTop w:val="0"/>
          <w:marBottom w:val="0"/>
          <w:divBdr>
            <w:top w:val="none" w:sz="0" w:space="0" w:color="auto"/>
            <w:left w:val="none" w:sz="0" w:space="0" w:color="auto"/>
            <w:bottom w:val="none" w:sz="0" w:space="0" w:color="auto"/>
            <w:right w:val="none" w:sz="0" w:space="0" w:color="auto"/>
          </w:divBdr>
        </w:div>
        <w:div w:id="538208597">
          <w:marLeft w:val="0"/>
          <w:marRight w:val="0"/>
          <w:marTop w:val="0"/>
          <w:marBottom w:val="0"/>
          <w:divBdr>
            <w:top w:val="none" w:sz="0" w:space="0" w:color="auto"/>
            <w:left w:val="none" w:sz="0" w:space="0" w:color="auto"/>
            <w:bottom w:val="none" w:sz="0" w:space="0" w:color="auto"/>
            <w:right w:val="none" w:sz="0" w:space="0" w:color="auto"/>
          </w:divBdr>
        </w:div>
        <w:div w:id="548615826">
          <w:marLeft w:val="0"/>
          <w:marRight w:val="0"/>
          <w:marTop w:val="0"/>
          <w:marBottom w:val="0"/>
          <w:divBdr>
            <w:top w:val="none" w:sz="0" w:space="0" w:color="auto"/>
            <w:left w:val="none" w:sz="0" w:space="0" w:color="auto"/>
            <w:bottom w:val="none" w:sz="0" w:space="0" w:color="auto"/>
            <w:right w:val="none" w:sz="0" w:space="0" w:color="auto"/>
          </w:divBdr>
        </w:div>
        <w:div w:id="663705563">
          <w:marLeft w:val="0"/>
          <w:marRight w:val="0"/>
          <w:marTop w:val="0"/>
          <w:marBottom w:val="0"/>
          <w:divBdr>
            <w:top w:val="none" w:sz="0" w:space="0" w:color="auto"/>
            <w:left w:val="none" w:sz="0" w:space="0" w:color="auto"/>
            <w:bottom w:val="none" w:sz="0" w:space="0" w:color="auto"/>
            <w:right w:val="none" w:sz="0" w:space="0" w:color="auto"/>
          </w:divBdr>
        </w:div>
        <w:div w:id="729769692">
          <w:marLeft w:val="0"/>
          <w:marRight w:val="0"/>
          <w:marTop w:val="0"/>
          <w:marBottom w:val="0"/>
          <w:divBdr>
            <w:top w:val="none" w:sz="0" w:space="0" w:color="auto"/>
            <w:left w:val="none" w:sz="0" w:space="0" w:color="auto"/>
            <w:bottom w:val="none" w:sz="0" w:space="0" w:color="auto"/>
            <w:right w:val="none" w:sz="0" w:space="0" w:color="auto"/>
          </w:divBdr>
        </w:div>
        <w:div w:id="770050449">
          <w:marLeft w:val="0"/>
          <w:marRight w:val="0"/>
          <w:marTop w:val="0"/>
          <w:marBottom w:val="0"/>
          <w:divBdr>
            <w:top w:val="none" w:sz="0" w:space="0" w:color="auto"/>
            <w:left w:val="none" w:sz="0" w:space="0" w:color="auto"/>
            <w:bottom w:val="none" w:sz="0" w:space="0" w:color="auto"/>
            <w:right w:val="none" w:sz="0" w:space="0" w:color="auto"/>
          </w:divBdr>
        </w:div>
        <w:div w:id="842823496">
          <w:marLeft w:val="0"/>
          <w:marRight w:val="0"/>
          <w:marTop w:val="0"/>
          <w:marBottom w:val="0"/>
          <w:divBdr>
            <w:top w:val="none" w:sz="0" w:space="0" w:color="auto"/>
            <w:left w:val="none" w:sz="0" w:space="0" w:color="auto"/>
            <w:bottom w:val="none" w:sz="0" w:space="0" w:color="auto"/>
            <w:right w:val="none" w:sz="0" w:space="0" w:color="auto"/>
          </w:divBdr>
        </w:div>
        <w:div w:id="942958283">
          <w:marLeft w:val="0"/>
          <w:marRight w:val="0"/>
          <w:marTop w:val="0"/>
          <w:marBottom w:val="0"/>
          <w:divBdr>
            <w:top w:val="none" w:sz="0" w:space="0" w:color="auto"/>
            <w:left w:val="none" w:sz="0" w:space="0" w:color="auto"/>
            <w:bottom w:val="none" w:sz="0" w:space="0" w:color="auto"/>
            <w:right w:val="none" w:sz="0" w:space="0" w:color="auto"/>
          </w:divBdr>
        </w:div>
        <w:div w:id="982806866">
          <w:marLeft w:val="0"/>
          <w:marRight w:val="0"/>
          <w:marTop w:val="0"/>
          <w:marBottom w:val="0"/>
          <w:divBdr>
            <w:top w:val="none" w:sz="0" w:space="0" w:color="auto"/>
            <w:left w:val="none" w:sz="0" w:space="0" w:color="auto"/>
            <w:bottom w:val="none" w:sz="0" w:space="0" w:color="auto"/>
            <w:right w:val="none" w:sz="0" w:space="0" w:color="auto"/>
          </w:divBdr>
        </w:div>
        <w:div w:id="1068765716">
          <w:marLeft w:val="0"/>
          <w:marRight w:val="0"/>
          <w:marTop w:val="0"/>
          <w:marBottom w:val="0"/>
          <w:divBdr>
            <w:top w:val="none" w:sz="0" w:space="0" w:color="auto"/>
            <w:left w:val="none" w:sz="0" w:space="0" w:color="auto"/>
            <w:bottom w:val="none" w:sz="0" w:space="0" w:color="auto"/>
            <w:right w:val="none" w:sz="0" w:space="0" w:color="auto"/>
          </w:divBdr>
        </w:div>
        <w:div w:id="1155412244">
          <w:marLeft w:val="0"/>
          <w:marRight w:val="0"/>
          <w:marTop w:val="0"/>
          <w:marBottom w:val="0"/>
          <w:divBdr>
            <w:top w:val="none" w:sz="0" w:space="0" w:color="auto"/>
            <w:left w:val="none" w:sz="0" w:space="0" w:color="auto"/>
            <w:bottom w:val="none" w:sz="0" w:space="0" w:color="auto"/>
            <w:right w:val="none" w:sz="0" w:space="0" w:color="auto"/>
          </w:divBdr>
        </w:div>
        <w:div w:id="1166552726">
          <w:marLeft w:val="0"/>
          <w:marRight w:val="0"/>
          <w:marTop w:val="0"/>
          <w:marBottom w:val="0"/>
          <w:divBdr>
            <w:top w:val="none" w:sz="0" w:space="0" w:color="auto"/>
            <w:left w:val="none" w:sz="0" w:space="0" w:color="auto"/>
            <w:bottom w:val="none" w:sz="0" w:space="0" w:color="auto"/>
            <w:right w:val="none" w:sz="0" w:space="0" w:color="auto"/>
          </w:divBdr>
        </w:div>
        <w:div w:id="1345135227">
          <w:marLeft w:val="0"/>
          <w:marRight w:val="0"/>
          <w:marTop w:val="0"/>
          <w:marBottom w:val="0"/>
          <w:divBdr>
            <w:top w:val="none" w:sz="0" w:space="0" w:color="auto"/>
            <w:left w:val="none" w:sz="0" w:space="0" w:color="auto"/>
            <w:bottom w:val="none" w:sz="0" w:space="0" w:color="auto"/>
            <w:right w:val="none" w:sz="0" w:space="0" w:color="auto"/>
          </w:divBdr>
        </w:div>
        <w:div w:id="1533152018">
          <w:marLeft w:val="0"/>
          <w:marRight w:val="0"/>
          <w:marTop w:val="0"/>
          <w:marBottom w:val="0"/>
          <w:divBdr>
            <w:top w:val="none" w:sz="0" w:space="0" w:color="auto"/>
            <w:left w:val="none" w:sz="0" w:space="0" w:color="auto"/>
            <w:bottom w:val="none" w:sz="0" w:space="0" w:color="auto"/>
            <w:right w:val="none" w:sz="0" w:space="0" w:color="auto"/>
          </w:divBdr>
        </w:div>
        <w:div w:id="1745255882">
          <w:marLeft w:val="0"/>
          <w:marRight w:val="0"/>
          <w:marTop w:val="0"/>
          <w:marBottom w:val="0"/>
          <w:divBdr>
            <w:top w:val="none" w:sz="0" w:space="0" w:color="auto"/>
            <w:left w:val="none" w:sz="0" w:space="0" w:color="auto"/>
            <w:bottom w:val="none" w:sz="0" w:space="0" w:color="auto"/>
            <w:right w:val="none" w:sz="0" w:space="0" w:color="auto"/>
          </w:divBdr>
        </w:div>
        <w:div w:id="1864443023">
          <w:marLeft w:val="0"/>
          <w:marRight w:val="0"/>
          <w:marTop w:val="0"/>
          <w:marBottom w:val="0"/>
          <w:divBdr>
            <w:top w:val="none" w:sz="0" w:space="0" w:color="auto"/>
            <w:left w:val="none" w:sz="0" w:space="0" w:color="auto"/>
            <w:bottom w:val="none" w:sz="0" w:space="0" w:color="auto"/>
            <w:right w:val="none" w:sz="0" w:space="0" w:color="auto"/>
          </w:divBdr>
        </w:div>
        <w:div w:id="1889608529">
          <w:marLeft w:val="0"/>
          <w:marRight w:val="0"/>
          <w:marTop w:val="0"/>
          <w:marBottom w:val="0"/>
          <w:divBdr>
            <w:top w:val="none" w:sz="0" w:space="0" w:color="auto"/>
            <w:left w:val="none" w:sz="0" w:space="0" w:color="auto"/>
            <w:bottom w:val="none" w:sz="0" w:space="0" w:color="auto"/>
            <w:right w:val="none" w:sz="0" w:space="0" w:color="auto"/>
          </w:divBdr>
        </w:div>
        <w:div w:id="2053655101">
          <w:marLeft w:val="0"/>
          <w:marRight w:val="0"/>
          <w:marTop w:val="0"/>
          <w:marBottom w:val="0"/>
          <w:divBdr>
            <w:top w:val="none" w:sz="0" w:space="0" w:color="auto"/>
            <w:left w:val="none" w:sz="0" w:space="0" w:color="auto"/>
            <w:bottom w:val="none" w:sz="0" w:space="0" w:color="auto"/>
            <w:right w:val="none" w:sz="0" w:space="0" w:color="auto"/>
          </w:divBdr>
        </w:div>
        <w:div w:id="2082020725">
          <w:marLeft w:val="0"/>
          <w:marRight w:val="0"/>
          <w:marTop w:val="0"/>
          <w:marBottom w:val="0"/>
          <w:divBdr>
            <w:top w:val="none" w:sz="0" w:space="0" w:color="auto"/>
            <w:left w:val="none" w:sz="0" w:space="0" w:color="auto"/>
            <w:bottom w:val="none" w:sz="0" w:space="0" w:color="auto"/>
            <w:right w:val="none" w:sz="0" w:space="0" w:color="auto"/>
          </w:divBdr>
        </w:div>
        <w:div w:id="2096895165">
          <w:marLeft w:val="0"/>
          <w:marRight w:val="0"/>
          <w:marTop w:val="0"/>
          <w:marBottom w:val="0"/>
          <w:divBdr>
            <w:top w:val="none" w:sz="0" w:space="0" w:color="auto"/>
            <w:left w:val="none" w:sz="0" w:space="0" w:color="auto"/>
            <w:bottom w:val="none" w:sz="0" w:space="0" w:color="auto"/>
            <w:right w:val="none" w:sz="0" w:space="0" w:color="auto"/>
          </w:divBdr>
        </w:div>
        <w:div w:id="2121990859">
          <w:marLeft w:val="0"/>
          <w:marRight w:val="0"/>
          <w:marTop w:val="0"/>
          <w:marBottom w:val="0"/>
          <w:divBdr>
            <w:top w:val="none" w:sz="0" w:space="0" w:color="auto"/>
            <w:left w:val="none" w:sz="0" w:space="0" w:color="auto"/>
            <w:bottom w:val="none" w:sz="0" w:space="0" w:color="auto"/>
            <w:right w:val="none" w:sz="0" w:space="0" w:color="auto"/>
          </w:divBdr>
        </w:div>
        <w:div w:id="2142649115">
          <w:marLeft w:val="0"/>
          <w:marRight w:val="0"/>
          <w:marTop w:val="0"/>
          <w:marBottom w:val="0"/>
          <w:divBdr>
            <w:top w:val="none" w:sz="0" w:space="0" w:color="auto"/>
            <w:left w:val="none" w:sz="0" w:space="0" w:color="auto"/>
            <w:bottom w:val="none" w:sz="0" w:space="0" w:color="auto"/>
            <w:right w:val="none" w:sz="0" w:space="0" w:color="auto"/>
          </w:divBdr>
        </w:div>
        <w:div w:id="2146580367">
          <w:marLeft w:val="0"/>
          <w:marRight w:val="0"/>
          <w:marTop w:val="0"/>
          <w:marBottom w:val="0"/>
          <w:divBdr>
            <w:top w:val="none" w:sz="0" w:space="0" w:color="auto"/>
            <w:left w:val="none" w:sz="0" w:space="0" w:color="auto"/>
            <w:bottom w:val="none" w:sz="0" w:space="0" w:color="auto"/>
            <w:right w:val="none" w:sz="0" w:space="0" w:color="auto"/>
          </w:divBdr>
        </w:div>
      </w:divsChild>
    </w:div>
    <w:div w:id="2136172263">
      <w:bodyDiv w:val="1"/>
      <w:marLeft w:val="0"/>
      <w:marRight w:val="0"/>
      <w:marTop w:val="0"/>
      <w:marBottom w:val="0"/>
      <w:divBdr>
        <w:top w:val="none" w:sz="0" w:space="0" w:color="auto"/>
        <w:left w:val="none" w:sz="0" w:space="0" w:color="auto"/>
        <w:bottom w:val="none" w:sz="0" w:space="0" w:color="auto"/>
        <w:right w:val="none" w:sz="0" w:space="0" w:color="auto"/>
      </w:divBdr>
      <w:divsChild>
        <w:div w:id="518859001">
          <w:marLeft w:val="0"/>
          <w:marRight w:val="0"/>
          <w:marTop w:val="0"/>
          <w:marBottom w:val="0"/>
          <w:divBdr>
            <w:top w:val="none" w:sz="0" w:space="0" w:color="auto"/>
            <w:left w:val="none" w:sz="0" w:space="0" w:color="auto"/>
            <w:bottom w:val="none" w:sz="0" w:space="0" w:color="auto"/>
            <w:right w:val="none" w:sz="0" w:space="0" w:color="auto"/>
          </w:divBdr>
          <w:divsChild>
            <w:div w:id="424808553">
              <w:marLeft w:val="0"/>
              <w:marRight w:val="0"/>
              <w:marTop w:val="0"/>
              <w:marBottom w:val="0"/>
              <w:divBdr>
                <w:top w:val="none" w:sz="0" w:space="0" w:color="auto"/>
                <w:left w:val="none" w:sz="0" w:space="0" w:color="auto"/>
                <w:bottom w:val="none" w:sz="0" w:space="0" w:color="auto"/>
                <w:right w:val="none" w:sz="0" w:space="0" w:color="auto"/>
              </w:divBdr>
              <w:divsChild>
                <w:div w:id="11020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ustr.gov/sites/default/files/uploads/agreements/fta/singapore/asset_upload_file58_4058.pdf" TargetMode="External"/><Relationship Id="rId21" Type="http://schemas.openxmlformats.org/officeDocument/2006/relationships/hyperlink" Target="http://www.oecd.org/investment/internationalinvestmentagreements/internationalinvestmentlawunderstandingconceptsandtrackinginnovations.htm" TargetMode="Externa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trade.ec.europa.eu/doclib/docs/2011/may/tradoc_147884.pdf" TargetMode="External"/><Relationship Id="rId13" Type="http://schemas.openxmlformats.org/officeDocument/2006/relationships/hyperlink" Target="http://www.europarl.europa.eu/oeil/spdoc.do?i=19829&amp;j=0&amp;l=en" TargetMode="External"/><Relationship Id="rId14" Type="http://schemas.openxmlformats.org/officeDocument/2006/relationships/hyperlink" Target="http://trade.ec.europa.eu/doclib/docs/2013/november/tradoc_151916.pdf" TargetMode="External"/><Relationship Id="rId15" Type="http://schemas.openxmlformats.org/officeDocument/2006/relationships/hyperlink" Target="http://trade.ec.europa.eu/doclib/docs/2015/january/tradoc_153045.pdf" TargetMode="External"/><Relationship Id="rId16" Type="http://schemas.openxmlformats.org/officeDocument/2006/relationships/hyperlink" Target="http://trade.ec.europa.eu/doclib/docs/2015/may/tradoc_153456.pdf" TargetMode="External"/><Relationship Id="rId17" Type="http://schemas.openxmlformats.org/officeDocument/2006/relationships/hyperlink" Target="http://trade.ec.europa.eu/doclib/docs/2015/september/tradoc_153807.pdf" TargetMode="External"/><Relationship Id="rId18" Type="http://schemas.openxmlformats.org/officeDocument/2006/relationships/hyperlink" Target="http://www.lapresse.ca/html/1633/Document_UE_2.pdf" TargetMode="External"/><Relationship Id="rId19" Type="http://schemas.openxmlformats.org/officeDocument/2006/relationships/hyperlink" Target="http://www.europarl.europa.eu/sides/getDoc.do?pubRef=-//EP//TEXT+REPORT+A7-2011-0070+0+DOC+XML+V0//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52CA-E721-C349-AE42-AFF07AF7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63</Pages>
  <Words>25756</Words>
  <Characters>141659</Characters>
  <Application>Microsoft Macintosh Word</Application>
  <DocSecurity>0</DocSecurity>
  <Lines>1180</Lines>
  <Paragraphs>334</Paragraphs>
  <ScaleCrop>false</ScaleCrop>
  <Company>Toshiba</Company>
  <LinksUpToDate>false</LinksUpToDate>
  <CharactersWithSpaces>167081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Beaumier</dc:creator>
  <cp:lastModifiedBy>Guillaume Beaumier</cp:lastModifiedBy>
  <cp:revision>10</cp:revision>
  <dcterms:created xsi:type="dcterms:W3CDTF">2015-12-24T20:44:00Z</dcterms:created>
  <dcterms:modified xsi:type="dcterms:W3CDTF">2016-04-12T03:47:00Z</dcterms:modified>
</cp:coreProperties>
</file>